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0" w:type="dxa"/>
        <w:tblLayout w:type="fixed"/>
        <w:tblCellMar>
          <w:left w:w="70" w:type="dxa"/>
          <w:right w:w="70" w:type="dxa"/>
        </w:tblCellMar>
        <w:tblLook w:val="0000" w:firstRow="0" w:lastRow="0" w:firstColumn="0" w:lastColumn="0" w:noHBand="0" w:noVBand="0"/>
      </w:tblPr>
      <w:tblGrid>
        <w:gridCol w:w="754"/>
        <w:gridCol w:w="8386"/>
      </w:tblGrid>
      <w:tr w:rsidR="00EE0E68">
        <w:tc>
          <w:tcPr>
            <w:tcW w:w="754" w:type="dxa"/>
          </w:tcPr>
          <w:p w:rsidR="00EE0E68" w:rsidRDefault="00EE0E68">
            <w:pPr>
              <w:pStyle w:val="Kopfzeile"/>
              <w:numPr>
                <w:ilvl w:val="0"/>
                <w:numId w:val="2"/>
              </w:numPr>
              <w:tabs>
                <w:tab w:val="clear" w:pos="4536"/>
                <w:tab w:val="clear" w:pos="9072"/>
                <w:tab w:val="left" w:pos="425"/>
              </w:tabs>
              <w:rPr>
                <w:rFonts w:cs="Arial"/>
              </w:rPr>
            </w:pPr>
          </w:p>
        </w:tc>
        <w:tc>
          <w:tcPr>
            <w:tcW w:w="8386" w:type="dxa"/>
          </w:tcPr>
          <w:p w:rsidR="00EE0E68" w:rsidRDefault="00EE0E68">
            <w:pPr>
              <w:rPr>
                <w:rFonts w:cs="Arial"/>
              </w:rPr>
            </w:pPr>
          </w:p>
          <w:p w:rsidR="00EE0E68" w:rsidRDefault="00EE0E68">
            <w:pPr>
              <w:rPr>
                <w:rFonts w:cs="Arial"/>
              </w:rPr>
            </w:pPr>
            <w:r>
              <w:t xml:space="preserve">             .........................  pcs.                  ..............................  €             ..............................  €</w:t>
            </w:r>
          </w:p>
          <w:p w:rsidR="00EE0E68" w:rsidRDefault="00EE0E68">
            <w:pPr>
              <w:tabs>
                <w:tab w:val="left" w:pos="3792"/>
              </w:tabs>
              <w:rPr>
                <w:rFonts w:cs="Arial"/>
              </w:rPr>
            </w:pPr>
          </w:p>
          <w:p w:rsidR="00D34B8F" w:rsidRDefault="00EE0E68">
            <w:pPr>
              <w:pStyle w:val="Blocktext1"/>
              <w:ind w:left="0" w:right="1320"/>
              <w:rPr>
                <w:rFonts w:ascii="Arial" w:hAnsi="Arial"/>
              </w:rPr>
            </w:pPr>
            <w:r>
              <w:rPr>
                <w:rFonts w:ascii="Arial" w:hAnsi="Arial"/>
                <w:b/>
              </w:rPr>
              <w:t>GEZE</w:t>
            </w:r>
            <w:r>
              <w:rPr>
                <w:rFonts w:ascii="Arial" w:hAnsi="Arial"/>
              </w:rPr>
              <w:t xml:space="preserve"> </w:t>
            </w:r>
            <w:r>
              <w:rPr>
                <w:rFonts w:ascii="Arial" w:hAnsi="Arial"/>
                <w:b/>
              </w:rPr>
              <w:t xml:space="preserve">opening and locking system RWA 100 NT  for a smoke and heat extraction system  </w:t>
            </w:r>
          </w:p>
          <w:p w:rsidR="00D34B8F" w:rsidRDefault="00D34B8F">
            <w:pPr>
              <w:pStyle w:val="Blocktext1"/>
              <w:ind w:left="0" w:right="1320"/>
              <w:rPr>
                <w:rFonts w:ascii="Arial" w:hAnsi="Arial"/>
              </w:rPr>
            </w:pPr>
          </w:p>
          <w:p w:rsidR="00D34B8F" w:rsidRDefault="00D34B8F" w:rsidP="00D34B8F">
            <w:pPr>
              <w:numPr>
                <w:ilvl w:val="12"/>
                <w:numId w:val="0"/>
              </w:numPr>
              <w:ind w:right="2280"/>
            </w:pPr>
            <w:r>
              <w:t>For daily aeration and ventilation as well as safe and fast smoke and heat extraction and smoke dissipation at vertically installed, inward opening bottom, top and side-hung casements</w:t>
            </w:r>
            <w:r>
              <w:rPr>
                <w:vertAlign w:val="superscript"/>
              </w:rPr>
              <w:t>1)</w:t>
            </w:r>
            <w:r>
              <w:t xml:space="preserve">. For frame installation. </w:t>
            </w:r>
          </w:p>
          <w:p w:rsidR="00D34B8F" w:rsidRDefault="00D34B8F" w:rsidP="00D34B8F">
            <w:pPr>
              <w:numPr>
                <w:ilvl w:val="12"/>
                <w:numId w:val="0"/>
              </w:numPr>
              <w:ind w:right="2280"/>
            </w:pPr>
            <w:r>
              <w:t xml:space="preserve"> </w:t>
            </w:r>
          </w:p>
          <w:p w:rsidR="00BB4E92" w:rsidRPr="006D7CE7" w:rsidRDefault="00D34B8F" w:rsidP="006D7CE7">
            <w:pPr>
              <w:ind w:right="1560"/>
            </w:pPr>
            <w:r>
              <w:t>Electric spindle drive E 250 NT in 24 V version with 1 mechanical leaf locking mechanism.</w:t>
            </w:r>
          </w:p>
          <w:p w:rsidR="00BB4E92" w:rsidRDefault="00BB4E92" w:rsidP="00BB4E92">
            <w:pPr>
              <w:ind w:right="1560"/>
              <w:rPr>
                <w:rFonts w:cs="Arial"/>
              </w:rPr>
            </w:pPr>
            <w:r>
              <w:t>Load switch-off and end-position cut-off must be implemented electronically.</w:t>
            </w:r>
          </w:p>
          <w:p w:rsidR="006D7CE7" w:rsidRDefault="006D7CE7" w:rsidP="006D7CE7">
            <w:pPr>
              <w:numPr>
                <w:ilvl w:val="12"/>
                <w:numId w:val="0"/>
              </w:numPr>
              <w:ind w:right="2280"/>
              <w:rPr>
                <w:rFonts w:cs="Arial"/>
              </w:rPr>
            </w:pPr>
            <w:r>
              <w:t>For large windows synchronised tandem operation without an external additional module must be provided. Activation and setting of the synchro function is achieved by means of integrated DIP switches, without additional programming being necessary.</w:t>
            </w:r>
          </w:p>
          <w:p w:rsidR="00BB4E92" w:rsidRDefault="00BB4E92" w:rsidP="00BB4E92">
            <w:pPr>
              <w:ind w:right="1560"/>
              <w:rPr>
                <w:rFonts w:cs="Arial"/>
              </w:rPr>
            </w:pPr>
            <w:r>
              <w:t xml:space="preserve">The control is carried out via the GEZE emergency power control unit in the event that the smoke and heat extraction system is triggered. </w:t>
            </w:r>
          </w:p>
          <w:p w:rsidR="00BB4E92" w:rsidRDefault="00BB4E92" w:rsidP="00BB4E92">
            <w:pPr>
              <w:numPr>
                <w:ilvl w:val="12"/>
                <w:numId w:val="0"/>
              </w:numPr>
              <w:ind w:right="2280"/>
              <w:rPr>
                <w:rFonts w:cs="Arial"/>
              </w:rPr>
            </w:pPr>
            <w:r>
              <w:t>Daily use of the ventilation function is carried out using the GEZE vent switch.</w:t>
            </w:r>
          </w:p>
          <w:p w:rsidR="00D34B8F" w:rsidRDefault="00D34B8F" w:rsidP="00B704F1">
            <w:pPr>
              <w:ind w:right="1560"/>
            </w:pPr>
          </w:p>
          <w:p w:rsidR="00B704F1" w:rsidRDefault="00B704F1" w:rsidP="00B704F1">
            <w:pPr>
              <w:ind w:right="1560"/>
            </w:pPr>
            <w:r>
              <w:t>The mechanical locking must take place at the primary closing edge.</w:t>
            </w:r>
          </w:p>
          <w:p w:rsidR="00B704F1" w:rsidRPr="00B704F1" w:rsidRDefault="00B704F1" w:rsidP="00B704F1">
            <w:pPr>
              <w:ind w:right="1560"/>
            </w:pPr>
            <w:r>
              <w:t>The drive allows mechanical secondary locking</w:t>
            </w:r>
          </w:p>
          <w:p w:rsidR="00B704F1" w:rsidRDefault="00B704F1" w:rsidP="008A26BD">
            <w:pPr>
              <w:ind w:right="1560"/>
            </w:pPr>
            <w:r>
              <w:t>at the secondary closing edge on the motor side.</w:t>
            </w:r>
          </w:p>
          <w:p w:rsidR="00D34B8F" w:rsidRDefault="00D34B8F">
            <w:pPr>
              <w:pStyle w:val="Blocktext1"/>
              <w:ind w:left="0" w:right="1320"/>
              <w:rPr>
                <w:rFonts w:ascii="Arial" w:hAnsi="Arial"/>
                <w:vertAlign w:val="superscript"/>
              </w:rPr>
            </w:pPr>
          </w:p>
          <w:p w:rsidR="00EE0E68" w:rsidRDefault="00EE0E68">
            <w:pPr>
              <w:pStyle w:val="Blocktext1"/>
              <w:ind w:left="0" w:right="1320"/>
              <w:rPr>
                <w:rFonts w:ascii="Arial" w:hAnsi="Arial"/>
              </w:rPr>
            </w:pPr>
            <w:r>
              <w:rPr>
                <w:rFonts w:ascii="Arial" w:hAnsi="Arial"/>
                <w:vertAlign w:val="superscript"/>
              </w:rPr>
              <w:t>1)</w:t>
            </w:r>
            <w:r>
              <w:rPr>
                <w:rFonts w:ascii="Arial" w:hAnsi="Arial"/>
              </w:rPr>
              <w:t xml:space="preserve"> </w:t>
            </w:r>
            <w:r>
              <w:rPr>
                <w:rFonts w:ascii="Arial" w:hAnsi="Arial"/>
                <w:sz w:val="16"/>
              </w:rPr>
              <w:t>Other types of casements (pivot or turn casement) are possible on request</w:t>
            </w:r>
          </w:p>
          <w:p w:rsidR="00D34B8F" w:rsidRDefault="00D34B8F" w:rsidP="00D34B8F">
            <w:pPr>
              <w:pStyle w:val="Blocktext1"/>
              <w:ind w:left="0"/>
              <w:rPr>
                <w:rFonts w:ascii="Arial" w:hAnsi="Arial"/>
                <w:b/>
              </w:rPr>
            </w:pPr>
          </w:p>
          <w:p w:rsidR="00D34B8F" w:rsidRDefault="00D34B8F" w:rsidP="00D34B8F">
            <w:pPr>
              <w:pStyle w:val="Blocktext1"/>
              <w:ind w:left="0"/>
              <w:rPr>
                <w:rFonts w:ascii="Arial" w:hAnsi="Arial"/>
                <w:b/>
              </w:rPr>
            </w:pPr>
            <w:r>
              <w:rPr>
                <w:rFonts w:ascii="Arial" w:hAnsi="Arial"/>
                <w:b/>
              </w:rPr>
              <w:t>Technical data:</w:t>
            </w:r>
          </w:p>
          <w:p w:rsidR="00D34B8F" w:rsidRDefault="00D34B8F" w:rsidP="00D34B8F">
            <w:pPr>
              <w:ind w:right="1560"/>
            </w:pPr>
            <w:r>
              <w:t>Stroke: 100/150/200/300</w:t>
            </w:r>
          </w:p>
          <w:p w:rsidR="000B7119" w:rsidRDefault="000B7119" w:rsidP="000B7119">
            <w:pPr>
              <w:pStyle w:val="Blocksatz"/>
              <w:numPr>
                <w:ilvl w:val="12"/>
                <w:numId w:val="0"/>
              </w:numPr>
              <w:ind w:right="1680"/>
              <w:rPr>
                <w:rFonts w:ascii="Arial" w:hAnsi="Arial" w:cs="Arial"/>
              </w:rPr>
            </w:pPr>
            <w:r>
              <w:rPr>
                <w:rFonts w:ascii="Arial" w:hAnsi="Arial"/>
              </w:rPr>
              <w:t>Tensile force and pressure: 750 N/750 N</w:t>
            </w:r>
          </w:p>
          <w:p w:rsidR="000B7119" w:rsidRPr="003C34C0" w:rsidRDefault="000B7119" w:rsidP="000B7119">
            <w:pPr>
              <w:pStyle w:val="Blocksatz"/>
              <w:numPr>
                <w:ilvl w:val="12"/>
                <w:numId w:val="0"/>
              </w:numPr>
              <w:ind w:right="1680"/>
              <w:rPr>
                <w:rFonts w:ascii="Arial" w:hAnsi="Arial" w:cs="Arial"/>
              </w:rPr>
            </w:pPr>
            <w:r>
              <w:rPr>
                <w:rFonts w:ascii="Arial" w:hAnsi="Arial"/>
              </w:rPr>
              <w:t>Voltage: 24 V DC / 230 V AC with external mains adapter</w:t>
            </w:r>
          </w:p>
          <w:p w:rsidR="000B7119" w:rsidRPr="003C34C0" w:rsidRDefault="000B7119" w:rsidP="000B7119">
            <w:pPr>
              <w:pStyle w:val="Blocksatz"/>
              <w:numPr>
                <w:ilvl w:val="12"/>
                <w:numId w:val="0"/>
              </w:numPr>
              <w:ind w:right="1680"/>
              <w:rPr>
                <w:rFonts w:ascii="Arial" w:hAnsi="Arial" w:cs="Arial"/>
              </w:rPr>
            </w:pPr>
            <w:r>
              <w:rPr>
                <w:rFonts w:ascii="Arial" w:hAnsi="Arial"/>
              </w:rPr>
              <w:t>Current consumption: Ventilation (24 V): 0.9 A; RWA (18 V): 1.0 A</w:t>
            </w:r>
          </w:p>
          <w:p w:rsidR="000B7119" w:rsidRPr="003C34C0" w:rsidRDefault="000B7119" w:rsidP="000B7119">
            <w:pPr>
              <w:pStyle w:val="Blocksatz"/>
              <w:numPr>
                <w:ilvl w:val="12"/>
                <w:numId w:val="0"/>
              </w:numPr>
              <w:ind w:right="1680"/>
              <w:rPr>
                <w:rFonts w:ascii="Arial" w:hAnsi="Arial" w:cs="Arial"/>
              </w:rPr>
            </w:pPr>
            <w:r>
              <w:rPr>
                <w:rFonts w:ascii="Arial" w:hAnsi="Arial"/>
              </w:rPr>
              <w:t>Enclosure rating: IP 65</w:t>
            </w:r>
          </w:p>
          <w:p w:rsidR="000B7119" w:rsidRDefault="000B7119" w:rsidP="000B7119">
            <w:pPr>
              <w:pStyle w:val="Blocksatz"/>
              <w:numPr>
                <w:ilvl w:val="12"/>
                <w:numId w:val="0"/>
              </w:numPr>
              <w:ind w:right="1680"/>
              <w:rPr>
                <w:rFonts w:ascii="Arial" w:hAnsi="Arial" w:cs="Arial"/>
              </w:rPr>
            </w:pPr>
            <w:r>
              <w:rPr>
                <w:rFonts w:ascii="Arial" w:hAnsi="Arial"/>
              </w:rPr>
              <w:t>Ambient temperature: -5 °C to +70 °C</w:t>
            </w:r>
          </w:p>
          <w:p w:rsidR="000B7119" w:rsidRDefault="000B7119" w:rsidP="000B7119">
            <w:pPr>
              <w:pStyle w:val="Blocksatz"/>
              <w:numPr>
                <w:ilvl w:val="12"/>
                <w:numId w:val="0"/>
              </w:numPr>
              <w:ind w:right="1680"/>
              <w:rPr>
                <w:rFonts w:ascii="Arial" w:hAnsi="Arial" w:cs="Arial"/>
              </w:rPr>
            </w:pPr>
            <w:r>
              <w:rPr>
                <w:rFonts w:ascii="Arial" w:hAnsi="Arial"/>
              </w:rPr>
              <w:t>Connection cable: 2 m, silicon sheathed*</w:t>
            </w:r>
          </w:p>
          <w:p w:rsidR="009C0F77" w:rsidRPr="003C34C0" w:rsidRDefault="009C0F77" w:rsidP="009C0F77">
            <w:pPr>
              <w:pStyle w:val="Blocksatz"/>
              <w:numPr>
                <w:ilvl w:val="12"/>
                <w:numId w:val="0"/>
              </w:numPr>
              <w:ind w:right="1680"/>
              <w:rPr>
                <w:rFonts w:ascii="Arial" w:hAnsi="Arial" w:cs="Arial"/>
              </w:rPr>
            </w:pPr>
            <w:r>
              <w:rPr>
                <w:rFonts w:ascii="Arial" w:hAnsi="Arial"/>
              </w:rPr>
              <w:t xml:space="preserve">* </w:t>
            </w:r>
            <w:r>
              <w:rPr>
                <w:rFonts w:ascii="Arial" w:hAnsi="Arial"/>
                <w:sz w:val="16"/>
              </w:rPr>
              <w:t>Special lengths on request</w:t>
            </w:r>
          </w:p>
          <w:p w:rsidR="00EE0E68" w:rsidRDefault="00EE0E68">
            <w:pPr>
              <w:pStyle w:val="Blocktext1"/>
              <w:ind w:left="0" w:right="1320"/>
              <w:rPr>
                <w:rFonts w:ascii="Arial" w:hAnsi="Arial"/>
              </w:rPr>
            </w:pPr>
          </w:p>
          <w:p w:rsidR="00D34B8F" w:rsidRDefault="00D34B8F" w:rsidP="00D34B8F">
            <w:pPr>
              <w:ind w:right="1680"/>
            </w:pPr>
            <w:r>
              <w:t xml:space="preserve">Suitable for installation in tested and certified </w:t>
            </w:r>
            <w:r>
              <w:rPr>
                <w:b/>
              </w:rPr>
              <w:t>GEZE</w:t>
            </w:r>
            <w:r>
              <w:t xml:space="preserve"> </w:t>
            </w:r>
            <w:r>
              <w:rPr>
                <w:b/>
              </w:rPr>
              <w:t xml:space="preserve">SHEVs </w:t>
            </w:r>
            <w:r>
              <w:t>in accordance with EN 12101-2.</w:t>
            </w:r>
          </w:p>
          <w:p w:rsidR="00D34B8F" w:rsidRDefault="00D34B8F">
            <w:pPr>
              <w:pStyle w:val="Blocktext1"/>
              <w:ind w:left="0" w:right="1320"/>
              <w:rPr>
                <w:rFonts w:ascii="Arial" w:hAnsi="Arial"/>
              </w:rPr>
            </w:pPr>
          </w:p>
          <w:p w:rsidR="00EE0E68" w:rsidRDefault="00EE0E68">
            <w:pPr>
              <w:pStyle w:val="Blocktext1"/>
              <w:ind w:left="0" w:right="1320"/>
              <w:rPr>
                <w:rFonts w:ascii="Arial" w:hAnsi="Arial"/>
              </w:rPr>
            </w:pPr>
            <w:r>
              <w:rPr>
                <w:rFonts w:ascii="Arial" w:hAnsi="Arial"/>
                <w:b/>
              </w:rPr>
              <w:t xml:space="preserve">Casement size: </w:t>
            </w:r>
            <w:r>
              <w:rPr>
                <w:rFonts w:ascii="Arial" w:hAnsi="Arial"/>
              </w:rPr>
              <w:t>........ mm width</w:t>
            </w:r>
          </w:p>
          <w:p w:rsidR="00EE0E68" w:rsidRDefault="00EE0E68">
            <w:pPr>
              <w:pStyle w:val="Blocktext1"/>
              <w:ind w:left="0" w:right="1320"/>
              <w:rPr>
                <w:rFonts w:ascii="Arial" w:hAnsi="Arial"/>
              </w:rPr>
            </w:pPr>
            <w:r>
              <w:rPr>
                <w:rFonts w:ascii="Arial" w:hAnsi="Arial"/>
              </w:rPr>
              <w:t xml:space="preserve">                       ........ mm height</w:t>
            </w:r>
          </w:p>
          <w:p w:rsidR="00EE0E68" w:rsidRDefault="00EE0E68">
            <w:pPr>
              <w:pStyle w:val="Blocktext1"/>
              <w:ind w:left="0" w:right="1320"/>
              <w:rPr>
                <w:rFonts w:ascii="Arial" w:hAnsi="Arial"/>
              </w:rPr>
            </w:pPr>
          </w:p>
          <w:p w:rsidR="00EE0E68" w:rsidRDefault="00EE0E68">
            <w:pPr>
              <w:pStyle w:val="Blocktext1"/>
              <w:ind w:left="0" w:right="1320"/>
              <w:rPr>
                <w:rFonts w:ascii="Arial" w:hAnsi="Arial"/>
                <w:b/>
                <w:bCs/>
              </w:rPr>
            </w:pPr>
            <w:bookmarkStart w:id="0" w:name="OLE_LINK1"/>
            <w:r>
              <w:rPr>
                <w:rFonts w:ascii="Arial" w:hAnsi="Arial"/>
                <w:b/>
              </w:rPr>
              <w:t>Motor stroke:</w:t>
            </w:r>
          </w:p>
          <w:p w:rsidR="00EE0E68" w:rsidRDefault="00EE0E68">
            <w:pPr>
              <w:ind w:right="1320"/>
            </w:pPr>
            <w:r>
              <w:t>(  ) E 250 NT/100 casement heights: 520 – 850 mm</w:t>
            </w:r>
          </w:p>
          <w:p w:rsidR="00EE0E68" w:rsidRDefault="00EE0E68">
            <w:pPr>
              <w:ind w:right="1320"/>
            </w:pPr>
            <w:r>
              <w:t xml:space="preserve">                     Opening widths: approx. 350 – 400 mm</w:t>
            </w:r>
          </w:p>
          <w:p w:rsidR="00EE0E68" w:rsidRDefault="00EE0E68">
            <w:pPr>
              <w:ind w:right="1320"/>
            </w:pPr>
          </w:p>
          <w:p w:rsidR="00EE0E68" w:rsidRDefault="00EE0E68">
            <w:pPr>
              <w:ind w:right="1320"/>
            </w:pPr>
            <w:r>
              <w:t>(  ) E 250 NT/150 casement heights: 610 – 1000 mm</w:t>
            </w:r>
          </w:p>
          <w:p w:rsidR="00EE0E68" w:rsidRDefault="00EE0E68">
            <w:pPr>
              <w:ind w:right="1320"/>
            </w:pPr>
            <w:r>
              <w:t xml:space="preserve">                     Opening widths: approx. 520 – 560 mm</w:t>
            </w:r>
          </w:p>
          <w:p w:rsidR="00EE0E68" w:rsidRDefault="00EE0E68">
            <w:pPr>
              <w:ind w:right="1320"/>
            </w:pPr>
          </w:p>
          <w:p w:rsidR="00EE0E68" w:rsidRDefault="00EE0E68">
            <w:pPr>
              <w:ind w:right="1320"/>
            </w:pPr>
            <w:r>
              <w:lastRenderedPageBreak/>
              <w:t>(  ) E 250 NT/200 casement heights: 700 – 1300 mm</w:t>
            </w:r>
          </w:p>
          <w:p w:rsidR="00EE0E68" w:rsidRDefault="00EE0E68">
            <w:pPr>
              <w:ind w:right="1320"/>
            </w:pPr>
            <w:r>
              <w:t xml:space="preserve">                     Opening widths: approx. 690 – 720 mm</w:t>
            </w:r>
          </w:p>
          <w:p w:rsidR="00EE0E68" w:rsidRDefault="00EE0E68">
            <w:pPr>
              <w:ind w:right="1320"/>
            </w:pPr>
          </w:p>
          <w:p w:rsidR="00EE0E68" w:rsidRDefault="00EE0E68">
            <w:pPr>
              <w:ind w:right="1320"/>
            </w:pPr>
            <w:r>
              <w:t>(  ) E 250 NT/300 casement heights: 950 – 1700 mm</w:t>
            </w:r>
          </w:p>
          <w:p w:rsidR="00EE0E68" w:rsidRDefault="00EE0E68">
            <w:pPr>
              <w:ind w:right="1320"/>
            </w:pPr>
            <w:r>
              <w:t xml:space="preserve">                     Opening widths: approx. 830 – 970 mm</w:t>
            </w:r>
          </w:p>
          <w:p w:rsidR="00EE0E68" w:rsidRDefault="00EE0E68">
            <w:pPr>
              <w:pStyle w:val="Blocktext1"/>
              <w:ind w:left="0" w:right="1320"/>
              <w:rPr>
                <w:rFonts w:ascii="Arial" w:hAnsi="Arial"/>
              </w:rPr>
            </w:pPr>
          </w:p>
          <w:p w:rsidR="00EE0E68" w:rsidRDefault="00EE0E68">
            <w:pPr>
              <w:pStyle w:val="Blocktext1"/>
              <w:ind w:left="0" w:right="1320"/>
              <w:rPr>
                <w:rFonts w:ascii="Arial" w:hAnsi="Arial"/>
              </w:rPr>
            </w:pPr>
            <w:r>
              <w:rPr>
                <w:rFonts w:ascii="Arial" w:hAnsi="Arial"/>
              </w:rPr>
              <w:t>Max. casement width for wood or aluminium: Solo 1200 mm      Syncro 2400 mm</w:t>
            </w:r>
          </w:p>
          <w:p w:rsidR="00EE0E68" w:rsidRDefault="00EE0E68">
            <w:pPr>
              <w:pStyle w:val="Blocktext1"/>
              <w:ind w:left="0" w:right="1320"/>
              <w:rPr>
                <w:rFonts w:ascii="Arial" w:hAnsi="Arial"/>
              </w:rPr>
            </w:pPr>
            <w:r>
              <w:rPr>
                <w:rFonts w:ascii="Arial" w:hAnsi="Arial"/>
              </w:rPr>
              <w:t>Max. casement width for plastic:      Solo 800 mm      Syncro 1600 mm</w:t>
            </w:r>
          </w:p>
          <w:p w:rsidR="00EE0E68" w:rsidRDefault="00EE0E68">
            <w:pPr>
              <w:pStyle w:val="Blocktext1"/>
              <w:ind w:left="0" w:right="1320"/>
              <w:rPr>
                <w:rFonts w:ascii="Arial" w:hAnsi="Arial"/>
              </w:rPr>
            </w:pPr>
            <w:r>
              <w:rPr>
                <w:rFonts w:ascii="Arial" w:hAnsi="Arial"/>
              </w:rPr>
              <w:t>Min. casement width:                                      360 mm</w:t>
            </w:r>
          </w:p>
          <w:p w:rsidR="00EE0E68" w:rsidRDefault="00EE0E68">
            <w:pPr>
              <w:pStyle w:val="Blocktext1"/>
              <w:ind w:left="0" w:right="1320"/>
              <w:rPr>
                <w:rFonts w:ascii="Arial" w:hAnsi="Arial"/>
              </w:rPr>
            </w:pPr>
          </w:p>
          <w:p w:rsidR="00EE0E68" w:rsidRDefault="00EE0E68">
            <w:pPr>
              <w:pStyle w:val="Blocktext1"/>
              <w:ind w:left="0" w:right="1320"/>
              <w:rPr>
                <w:rFonts w:ascii="Arial" w:hAnsi="Arial"/>
              </w:rPr>
            </w:pPr>
            <w:r>
              <w:rPr>
                <w:rFonts w:ascii="Arial" w:hAnsi="Arial"/>
              </w:rPr>
              <w:t>Max. casement height: 1700 mm</w:t>
            </w:r>
          </w:p>
          <w:p w:rsidR="00EE0E68" w:rsidRDefault="00EE0E68">
            <w:pPr>
              <w:pStyle w:val="Blocktext1"/>
              <w:ind w:left="0" w:right="1320"/>
              <w:rPr>
                <w:rFonts w:ascii="Arial" w:hAnsi="Arial"/>
              </w:rPr>
            </w:pPr>
            <w:r>
              <w:rPr>
                <w:rFonts w:ascii="Arial" w:hAnsi="Arial"/>
              </w:rPr>
              <w:t>Min. casement height:    470 mm</w:t>
            </w:r>
          </w:p>
          <w:p w:rsidR="00EE0E68" w:rsidRDefault="00EE0E68">
            <w:pPr>
              <w:pStyle w:val="Blocktext1"/>
              <w:ind w:left="0" w:right="1320"/>
              <w:rPr>
                <w:rFonts w:ascii="Arial" w:hAnsi="Arial"/>
                <w:b/>
              </w:rPr>
            </w:pPr>
          </w:p>
          <w:p w:rsidR="00EE0E68" w:rsidRDefault="00EE0E68">
            <w:pPr>
              <w:pStyle w:val="Blocktext1"/>
              <w:ind w:left="0" w:right="1320"/>
              <w:rPr>
                <w:rFonts w:ascii="Arial" w:hAnsi="Arial"/>
                <w:b/>
              </w:rPr>
            </w:pPr>
            <w:r>
              <w:rPr>
                <w:rFonts w:ascii="Arial" w:hAnsi="Arial"/>
                <w:b/>
              </w:rPr>
              <w:t>Specifications based on bottom-hung or top-hung casements</w:t>
            </w:r>
          </w:p>
          <w:p w:rsidR="00EE0E68" w:rsidRDefault="00EE0E68">
            <w:pPr>
              <w:pStyle w:val="Blocktext1"/>
              <w:ind w:left="0" w:right="1320"/>
              <w:rPr>
                <w:rFonts w:ascii="Arial" w:hAnsi="Arial"/>
              </w:rPr>
            </w:pPr>
          </w:p>
          <w:p w:rsidR="00EE0E68" w:rsidRDefault="00EE0E68">
            <w:pPr>
              <w:pStyle w:val="Blocktext1"/>
              <w:ind w:left="0" w:right="1320"/>
              <w:rPr>
                <w:rFonts w:ascii="Arial" w:hAnsi="Arial"/>
              </w:rPr>
            </w:pPr>
            <w:r>
              <w:rPr>
                <w:rFonts w:ascii="Arial" w:hAnsi="Arial"/>
              </w:rPr>
              <w:t xml:space="preserve">Opening width: ........ mm </w:t>
            </w:r>
          </w:p>
          <w:p w:rsidR="00EE0E68" w:rsidRDefault="00EE0E68">
            <w:pPr>
              <w:pStyle w:val="Blocktext1"/>
              <w:ind w:left="0" w:right="1320"/>
              <w:rPr>
                <w:rFonts w:ascii="Arial" w:hAnsi="Arial"/>
              </w:rPr>
            </w:pPr>
            <w:r>
              <w:rPr>
                <w:rFonts w:ascii="Arial" w:hAnsi="Arial"/>
              </w:rPr>
              <w:t>(determined by the casement height and drive stroke)</w:t>
            </w:r>
          </w:p>
          <w:p w:rsidR="00EE0E68" w:rsidRDefault="00EE0E68">
            <w:pPr>
              <w:pStyle w:val="Blocktext1"/>
              <w:ind w:left="0" w:right="1320"/>
              <w:rPr>
                <w:rFonts w:ascii="Arial" w:hAnsi="Arial"/>
              </w:rPr>
            </w:pPr>
          </w:p>
          <w:p w:rsidR="00EE0E68" w:rsidRDefault="00EE0E68">
            <w:pPr>
              <w:pStyle w:val="Blocktext1"/>
              <w:ind w:left="0" w:right="1320"/>
              <w:rPr>
                <w:rFonts w:ascii="Arial" w:hAnsi="Arial"/>
              </w:rPr>
            </w:pPr>
            <w:r>
              <w:rPr>
                <w:rFonts w:ascii="Arial" w:hAnsi="Arial"/>
              </w:rPr>
              <w:t>Panel weight max.:  30 kg/m</w:t>
            </w:r>
            <w:r>
              <w:rPr>
                <w:rFonts w:ascii="Arial" w:hAnsi="Arial"/>
                <w:vertAlign w:val="superscript"/>
              </w:rPr>
              <w:t>2</w:t>
            </w:r>
          </w:p>
          <w:p w:rsidR="00EE0E68" w:rsidRDefault="00EE0E68">
            <w:pPr>
              <w:pStyle w:val="Blocktext1"/>
              <w:ind w:left="0" w:right="1320"/>
              <w:rPr>
                <w:rFonts w:ascii="Arial" w:hAnsi="Arial"/>
              </w:rPr>
            </w:pPr>
          </w:p>
          <w:p w:rsidR="00EE0E68" w:rsidRDefault="00EE0E68">
            <w:pPr>
              <w:pStyle w:val="Blocktext1"/>
              <w:ind w:left="0" w:right="1320"/>
              <w:rPr>
                <w:rFonts w:ascii="Arial" w:hAnsi="Arial"/>
              </w:rPr>
            </w:pPr>
            <w:r>
              <w:rPr>
                <w:rFonts w:ascii="Arial" w:hAnsi="Arial"/>
              </w:rPr>
              <w:t>Space required on the locking side:     32 mm</w:t>
            </w:r>
          </w:p>
          <w:p w:rsidR="00EE0E68" w:rsidRDefault="00EE0E68">
            <w:pPr>
              <w:pStyle w:val="Blocktext1"/>
              <w:ind w:left="0" w:right="1320"/>
              <w:rPr>
                <w:rFonts w:ascii="Arial" w:hAnsi="Arial"/>
              </w:rPr>
            </w:pPr>
            <w:r>
              <w:rPr>
                <w:rFonts w:ascii="Arial" w:hAnsi="Arial"/>
              </w:rPr>
              <w:t>Space required on the motor side:                  48 mm</w:t>
            </w:r>
          </w:p>
          <w:p w:rsidR="00EE0E68" w:rsidRDefault="00EE0E68">
            <w:pPr>
              <w:pStyle w:val="Blocktext1"/>
              <w:ind w:left="0" w:right="1320"/>
              <w:rPr>
                <w:rFonts w:ascii="Arial" w:hAnsi="Arial"/>
              </w:rPr>
            </w:pPr>
          </w:p>
          <w:p w:rsidR="00EE0E68" w:rsidRDefault="00EE0E68">
            <w:pPr>
              <w:pStyle w:val="Blocktext1"/>
              <w:ind w:left="0" w:right="1320"/>
              <w:rPr>
                <w:rFonts w:ascii="Arial" w:hAnsi="Arial"/>
                <w:b/>
                <w:bCs/>
              </w:rPr>
            </w:pPr>
            <w:r>
              <w:rPr>
                <w:rFonts w:ascii="Arial" w:hAnsi="Arial"/>
                <w:b/>
              </w:rPr>
              <w:t>Colour:</w:t>
            </w:r>
          </w:p>
          <w:p w:rsidR="00EE0E68" w:rsidRDefault="003A6863">
            <w:pPr>
              <w:pStyle w:val="Blocktext1"/>
              <w:ind w:left="0" w:right="1320"/>
              <w:rPr>
                <w:rFonts w:ascii="Arial" w:hAnsi="Arial"/>
              </w:rPr>
            </w:pPr>
            <w:r>
              <w:rPr>
                <w:rFonts w:ascii="Arial" w:hAnsi="Arial"/>
              </w:rPr>
              <w:t>(  ) EV1</w:t>
            </w:r>
          </w:p>
          <w:p w:rsidR="00EE0E68" w:rsidRDefault="00EE0E68">
            <w:pPr>
              <w:pStyle w:val="Blocktext1"/>
              <w:ind w:left="0" w:right="1320"/>
              <w:rPr>
                <w:rFonts w:ascii="Arial" w:hAnsi="Arial"/>
              </w:rPr>
            </w:pPr>
            <w:r>
              <w:rPr>
                <w:rFonts w:ascii="Arial" w:hAnsi="Arial"/>
              </w:rPr>
              <w:t>(  ) white</w:t>
            </w:r>
          </w:p>
          <w:p w:rsidR="00EE0E68" w:rsidRDefault="00EE0E68">
            <w:pPr>
              <w:pStyle w:val="Blocktext1"/>
              <w:ind w:left="0" w:right="1320"/>
              <w:rPr>
                <w:rFonts w:ascii="Arial" w:hAnsi="Arial"/>
              </w:rPr>
            </w:pPr>
            <w:r>
              <w:rPr>
                <w:rFonts w:ascii="Arial" w:hAnsi="Arial"/>
              </w:rPr>
              <w:t>(  ) RAL ........</w:t>
            </w:r>
          </w:p>
          <w:bookmarkEnd w:id="0"/>
          <w:p w:rsidR="00EE0E68" w:rsidRDefault="00EE0E68">
            <w:pPr>
              <w:pStyle w:val="Blocksatz"/>
              <w:numPr>
                <w:ilvl w:val="12"/>
                <w:numId w:val="0"/>
              </w:numPr>
              <w:rPr>
                <w:rFonts w:cs="Arial"/>
              </w:rPr>
            </w:pPr>
          </w:p>
        </w:tc>
      </w:tr>
      <w:tr w:rsidR="00544AFE">
        <w:tc>
          <w:tcPr>
            <w:tcW w:w="754" w:type="dxa"/>
          </w:tcPr>
          <w:p w:rsidR="00544AFE" w:rsidRDefault="00544AFE">
            <w:pPr>
              <w:pStyle w:val="Kopfzeile"/>
              <w:numPr>
                <w:ilvl w:val="0"/>
                <w:numId w:val="2"/>
              </w:numPr>
              <w:tabs>
                <w:tab w:val="clear" w:pos="4536"/>
                <w:tab w:val="clear" w:pos="9072"/>
                <w:tab w:val="left" w:pos="425"/>
              </w:tabs>
              <w:rPr>
                <w:rFonts w:cs="Arial"/>
              </w:rPr>
            </w:pPr>
          </w:p>
        </w:tc>
        <w:tc>
          <w:tcPr>
            <w:tcW w:w="8386" w:type="dxa"/>
          </w:tcPr>
          <w:p w:rsidR="002C6FC7" w:rsidRDefault="002C6FC7" w:rsidP="002C6FC7">
            <w:pPr>
              <w:rPr>
                <w:rFonts w:cs="Arial"/>
              </w:rPr>
            </w:pPr>
          </w:p>
          <w:p w:rsidR="002C6FC7" w:rsidRDefault="002C6FC7" w:rsidP="002C6FC7">
            <w:pPr>
              <w:rPr>
                <w:rFonts w:cs="Arial"/>
              </w:rPr>
            </w:pPr>
            <w:r>
              <w:t xml:space="preserve">             .........................  </w:t>
            </w:r>
            <w:proofErr w:type="gramStart"/>
            <w:r>
              <w:t>pcs</w:t>
            </w:r>
            <w:proofErr w:type="gramEnd"/>
            <w:r>
              <w:t>.                  ..............................  €             ..............................  €</w:t>
            </w:r>
          </w:p>
          <w:p w:rsidR="002C6FC7" w:rsidRDefault="002C6FC7" w:rsidP="002C6FC7">
            <w:pPr>
              <w:tabs>
                <w:tab w:val="left" w:pos="3792"/>
              </w:tabs>
              <w:rPr>
                <w:rFonts w:cs="Arial"/>
              </w:rPr>
            </w:pPr>
          </w:p>
          <w:p w:rsidR="004C010B" w:rsidRDefault="00C94FFA" w:rsidP="00544AFE">
            <w:pPr>
              <w:pStyle w:val="Textkrper21"/>
              <w:ind w:left="0" w:firstLine="0"/>
              <w:rPr>
                <w:rFonts w:ascii="Arial" w:hAnsi="Arial"/>
                <w:b/>
                <w:bCs/>
              </w:rPr>
            </w:pPr>
            <w:r>
              <w:rPr>
                <w:rFonts w:ascii="Arial" w:hAnsi="Arial"/>
                <w:b/>
              </w:rPr>
              <w:t>Synchronised tandem operation for wide windows</w:t>
            </w:r>
          </w:p>
          <w:p w:rsidR="004C010B" w:rsidRDefault="004C010B" w:rsidP="00544AFE">
            <w:pPr>
              <w:pStyle w:val="Textkrper21"/>
              <w:ind w:left="0" w:firstLine="0"/>
              <w:rPr>
                <w:rFonts w:ascii="Arial" w:hAnsi="Arial"/>
                <w:b/>
                <w:bCs/>
              </w:rPr>
            </w:pPr>
          </w:p>
          <w:p w:rsidR="0071112C" w:rsidRDefault="0071112C" w:rsidP="00544AFE">
            <w:pPr>
              <w:rPr>
                <w:rFonts w:cs="Arial"/>
              </w:rPr>
            </w:pPr>
            <w:r>
              <w:t>For leaf widths greater than 1200 mm and/or 800 mm, 2 RWA 100 NTs are required. The E 250 NT drives used have an integrated synchronic control unit which is activated via the DIP switch.</w:t>
            </w:r>
          </w:p>
          <w:p w:rsidR="00544AFE" w:rsidRDefault="00544AFE" w:rsidP="00544AFE">
            <w:pPr>
              <w:rPr>
                <w:rFonts w:cs="Arial"/>
              </w:rPr>
            </w:pPr>
          </w:p>
        </w:tc>
      </w:tr>
      <w:tr w:rsidR="00BB4E92">
        <w:tc>
          <w:tcPr>
            <w:tcW w:w="754" w:type="dxa"/>
          </w:tcPr>
          <w:p w:rsidR="00BB4E92" w:rsidRDefault="00BB4E92">
            <w:pPr>
              <w:pStyle w:val="Kopfzeile"/>
              <w:numPr>
                <w:ilvl w:val="0"/>
                <w:numId w:val="2"/>
              </w:numPr>
              <w:tabs>
                <w:tab w:val="clear" w:pos="4536"/>
                <w:tab w:val="clear" w:pos="9072"/>
                <w:tab w:val="left" w:pos="425"/>
              </w:tabs>
              <w:rPr>
                <w:rFonts w:cs="Arial"/>
              </w:rPr>
            </w:pPr>
          </w:p>
        </w:tc>
        <w:tc>
          <w:tcPr>
            <w:tcW w:w="8386" w:type="dxa"/>
          </w:tcPr>
          <w:p w:rsidR="002C6FC7" w:rsidRDefault="002C6FC7" w:rsidP="002C6FC7">
            <w:pPr>
              <w:rPr>
                <w:rFonts w:cs="Arial"/>
              </w:rPr>
            </w:pPr>
          </w:p>
          <w:p w:rsidR="002C6FC7" w:rsidRDefault="002C6FC7" w:rsidP="002C6FC7">
            <w:pPr>
              <w:rPr>
                <w:rFonts w:cs="Arial"/>
              </w:rPr>
            </w:pPr>
            <w:r>
              <w:t xml:space="preserve">             .........................  </w:t>
            </w:r>
            <w:proofErr w:type="gramStart"/>
            <w:r>
              <w:t>pcs</w:t>
            </w:r>
            <w:proofErr w:type="gramEnd"/>
            <w:r>
              <w:t>.                  ..............................  €             ..............................  €</w:t>
            </w:r>
          </w:p>
          <w:p w:rsidR="002C6FC7" w:rsidRDefault="002C6FC7" w:rsidP="002C6FC7">
            <w:pPr>
              <w:tabs>
                <w:tab w:val="left" w:pos="3792"/>
              </w:tabs>
              <w:rPr>
                <w:rFonts w:cs="Arial"/>
              </w:rPr>
            </w:pPr>
          </w:p>
          <w:p w:rsidR="00BB4E92" w:rsidRDefault="00BB4E92" w:rsidP="00BB4E92">
            <w:pPr>
              <w:pStyle w:val="Textkrper21"/>
              <w:ind w:left="0" w:firstLine="0"/>
              <w:rPr>
                <w:rFonts w:ascii="Arial" w:hAnsi="Arial"/>
                <w:b/>
                <w:bCs/>
              </w:rPr>
            </w:pPr>
            <w:r>
              <w:rPr>
                <w:rFonts w:ascii="Arial" w:hAnsi="Arial"/>
                <w:b/>
              </w:rPr>
              <w:t>Notes:</w:t>
            </w:r>
          </w:p>
          <w:p w:rsidR="0071112C" w:rsidRDefault="0071112C" w:rsidP="00BB4E92">
            <w:pPr>
              <w:pStyle w:val="Textkrper21"/>
              <w:ind w:left="0" w:firstLine="0"/>
              <w:rPr>
                <w:rFonts w:ascii="Arial" w:hAnsi="Arial"/>
                <w:b/>
                <w:bCs/>
              </w:rPr>
            </w:pPr>
          </w:p>
          <w:p w:rsidR="0071112C" w:rsidRPr="007C0100" w:rsidRDefault="004C010B" w:rsidP="0071112C">
            <w:pPr>
              <w:rPr>
                <w:rFonts w:cs="Arial"/>
              </w:rPr>
            </w:pPr>
            <w:r>
              <w:t>An additional hinge is required on the drive side for load distribution.</w:t>
            </w:r>
          </w:p>
          <w:p w:rsidR="0071112C" w:rsidRDefault="0071112C" w:rsidP="0071112C">
            <w:pPr>
              <w:rPr>
                <w:rFonts w:cs="Arial"/>
              </w:rPr>
            </w:pPr>
          </w:p>
          <w:p w:rsidR="0071112C" w:rsidRDefault="0071112C" w:rsidP="0071112C">
            <w:pPr>
              <w:rPr>
                <w:rFonts w:cs="Arial"/>
              </w:rPr>
            </w:pPr>
            <w:r>
              <w:t xml:space="preserve">You also require an emergency power control unit </w:t>
            </w:r>
            <w:r>
              <w:rPr>
                <w:b/>
              </w:rPr>
              <w:t>GEZE E 260 N, THZ, THZ Comfort</w:t>
            </w:r>
            <w:r>
              <w:t xml:space="preserve"> or </w:t>
            </w:r>
            <w:r>
              <w:rPr>
                <w:b/>
              </w:rPr>
              <w:t>MBZ 300</w:t>
            </w:r>
            <w:r>
              <w:t xml:space="preserve"> and accessories. Power supplies, </w:t>
            </w:r>
            <w:r>
              <w:rPr>
                <w:b/>
              </w:rPr>
              <w:t>IQ gear</w:t>
            </w:r>
            <w:r>
              <w:t xml:space="preserve"> and vent switches that can be supplied separately are required for 230V ventilation applications.</w:t>
            </w:r>
          </w:p>
          <w:p w:rsidR="00BB4E92" w:rsidRDefault="00BB4E92" w:rsidP="00BB4E92">
            <w:pPr>
              <w:rPr>
                <w:rFonts w:cs="Arial"/>
              </w:rPr>
            </w:pPr>
          </w:p>
        </w:tc>
      </w:tr>
      <w:tr w:rsidR="00BB4E92" w:rsidTr="006A6DA3">
        <w:tc>
          <w:tcPr>
            <w:tcW w:w="754" w:type="dxa"/>
          </w:tcPr>
          <w:p w:rsidR="00BB4E92" w:rsidRDefault="00BB4E92" w:rsidP="00D606F1">
            <w:pPr>
              <w:pStyle w:val="Kopfzeile"/>
              <w:numPr>
                <w:ilvl w:val="0"/>
                <w:numId w:val="2"/>
              </w:numPr>
              <w:tabs>
                <w:tab w:val="clear" w:pos="4536"/>
                <w:tab w:val="clear" w:pos="9072"/>
                <w:tab w:val="left" w:pos="425"/>
              </w:tabs>
              <w:rPr>
                <w:rFonts w:cs="Arial"/>
              </w:rPr>
            </w:pPr>
          </w:p>
        </w:tc>
        <w:tc>
          <w:tcPr>
            <w:tcW w:w="8386" w:type="dxa"/>
          </w:tcPr>
          <w:p w:rsidR="00BB4E92" w:rsidRDefault="00BB4E92" w:rsidP="00D606F1">
            <w:pPr>
              <w:rPr>
                <w:rFonts w:cs="Arial"/>
              </w:rPr>
            </w:pPr>
          </w:p>
          <w:p w:rsidR="00BB4E92" w:rsidRDefault="00BB4E92" w:rsidP="00D606F1">
            <w:pPr>
              <w:rPr>
                <w:rFonts w:cs="Arial"/>
              </w:rPr>
            </w:pPr>
            <w:r>
              <w:t xml:space="preserve">             .........................  pcs.                  ..............................  €             ..............................  €</w:t>
            </w:r>
          </w:p>
          <w:p w:rsidR="00BB4E92" w:rsidRDefault="00BB4E92" w:rsidP="006A6DA3">
            <w:pPr>
              <w:rPr>
                <w:rFonts w:cs="Arial"/>
              </w:rPr>
            </w:pPr>
          </w:p>
          <w:p w:rsidR="002C6FC7" w:rsidRPr="00B5354F" w:rsidRDefault="002C6FC7" w:rsidP="002C6FC7">
            <w:pPr>
              <w:rPr>
                <w:rFonts w:cs="Arial"/>
                <w:b/>
              </w:rPr>
            </w:pPr>
            <w:r>
              <w:rPr>
                <w:b/>
              </w:rPr>
              <w:t>Installation and functional test</w:t>
            </w:r>
          </w:p>
          <w:p w:rsidR="002C6FC7" w:rsidRPr="00B5354F" w:rsidRDefault="002C6FC7" w:rsidP="002C6FC7">
            <w:pPr>
              <w:rPr>
                <w:rFonts w:cs="Arial"/>
              </w:rPr>
            </w:pPr>
          </w:p>
          <w:p w:rsidR="002C6FC7" w:rsidRPr="00B5354F" w:rsidRDefault="002C6FC7" w:rsidP="002C6FC7">
            <w:pPr>
              <w:rPr>
                <w:rFonts w:cs="Arial"/>
              </w:rPr>
            </w:pPr>
            <w:r>
              <w:t>Installation and functional test by an expert authorised by the manufacturer.</w:t>
            </w:r>
          </w:p>
          <w:p w:rsidR="00BB4E92" w:rsidRDefault="00BB4E92" w:rsidP="006A6DA3">
            <w:pPr>
              <w:rPr>
                <w:rFonts w:cs="Arial"/>
              </w:rPr>
            </w:pPr>
          </w:p>
        </w:tc>
      </w:tr>
      <w:tr w:rsidR="00BB4E92" w:rsidTr="006A6DA3">
        <w:tc>
          <w:tcPr>
            <w:tcW w:w="754" w:type="dxa"/>
          </w:tcPr>
          <w:p w:rsidR="00BB4E92" w:rsidRDefault="00BB4E92" w:rsidP="00D606F1">
            <w:pPr>
              <w:pStyle w:val="Kopfzeile"/>
              <w:numPr>
                <w:ilvl w:val="0"/>
                <w:numId w:val="2"/>
              </w:numPr>
              <w:tabs>
                <w:tab w:val="clear" w:pos="4536"/>
                <w:tab w:val="clear" w:pos="9072"/>
                <w:tab w:val="left" w:pos="425"/>
              </w:tabs>
              <w:rPr>
                <w:rFonts w:cs="Arial"/>
              </w:rPr>
            </w:pPr>
          </w:p>
        </w:tc>
        <w:tc>
          <w:tcPr>
            <w:tcW w:w="8386" w:type="dxa"/>
          </w:tcPr>
          <w:p w:rsidR="00BB4E92" w:rsidRDefault="00BB4E92" w:rsidP="00D606F1">
            <w:pPr>
              <w:rPr>
                <w:rFonts w:cs="Arial"/>
              </w:rPr>
            </w:pPr>
          </w:p>
          <w:p w:rsidR="00BB4E92" w:rsidRDefault="00BB4E92" w:rsidP="00D606F1">
            <w:pPr>
              <w:rPr>
                <w:rFonts w:cs="Arial"/>
              </w:rPr>
            </w:pPr>
            <w:r>
              <w:t xml:space="preserve">             .........................  pcs.                  ..............................  €             ..............................  €</w:t>
            </w:r>
          </w:p>
          <w:p w:rsidR="00BB4E92" w:rsidRDefault="00BB4E92" w:rsidP="006A6DA3">
            <w:pPr>
              <w:rPr>
                <w:rFonts w:cs="Arial"/>
              </w:rPr>
            </w:pPr>
          </w:p>
          <w:p w:rsidR="002C6FC7" w:rsidRPr="00B5354F" w:rsidRDefault="002C6FC7" w:rsidP="002C6FC7">
            <w:pPr>
              <w:rPr>
                <w:rFonts w:cs="Arial"/>
                <w:b/>
              </w:rPr>
            </w:pPr>
            <w:r>
              <w:rPr>
                <w:b/>
              </w:rPr>
              <w:t>Start-up and official approval</w:t>
            </w:r>
          </w:p>
          <w:p w:rsidR="002C6FC7" w:rsidRPr="00B5354F" w:rsidRDefault="002C6FC7" w:rsidP="002C6FC7">
            <w:pPr>
              <w:rPr>
                <w:rFonts w:cs="Arial"/>
              </w:rPr>
            </w:pPr>
          </w:p>
          <w:p w:rsidR="002C6FC7" w:rsidRPr="00B5354F" w:rsidRDefault="002C6FC7" w:rsidP="002C6FC7">
            <w:pPr>
              <w:rPr>
                <w:rFonts w:cs="Arial"/>
              </w:rPr>
            </w:pPr>
            <w:r>
              <w:t>Official approval of the complete smoke and heat extraction system by an officially recognised expert, who also hands over the acceptance certificates.</w:t>
            </w:r>
          </w:p>
          <w:p w:rsidR="00BB4E92" w:rsidRDefault="00BB4E92" w:rsidP="006A6DA3">
            <w:pPr>
              <w:rPr>
                <w:rFonts w:cs="Arial"/>
              </w:rPr>
            </w:pPr>
          </w:p>
        </w:tc>
      </w:tr>
      <w:tr w:rsidR="00BB4E92" w:rsidTr="006A6DA3">
        <w:tc>
          <w:tcPr>
            <w:tcW w:w="754" w:type="dxa"/>
          </w:tcPr>
          <w:p w:rsidR="00BB4E92" w:rsidRDefault="00BB4E92" w:rsidP="00D606F1">
            <w:pPr>
              <w:pStyle w:val="Kopfzeile"/>
              <w:numPr>
                <w:ilvl w:val="0"/>
                <w:numId w:val="2"/>
              </w:numPr>
              <w:tabs>
                <w:tab w:val="clear" w:pos="4536"/>
                <w:tab w:val="clear" w:pos="9072"/>
                <w:tab w:val="left" w:pos="425"/>
              </w:tabs>
              <w:rPr>
                <w:rFonts w:cs="Arial"/>
              </w:rPr>
            </w:pPr>
          </w:p>
        </w:tc>
        <w:tc>
          <w:tcPr>
            <w:tcW w:w="8386" w:type="dxa"/>
          </w:tcPr>
          <w:p w:rsidR="00BB4E92" w:rsidRDefault="00BB4E92" w:rsidP="00D606F1">
            <w:pPr>
              <w:rPr>
                <w:rFonts w:cs="Arial"/>
              </w:rPr>
            </w:pPr>
          </w:p>
          <w:p w:rsidR="00BB4E92" w:rsidRDefault="00BB4E92" w:rsidP="00D606F1">
            <w:pPr>
              <w:rPr>
                <w:rFonts w:cs="Arial"/>
              </w:rPr>
            </w:pPr>
            <w:r>
              <w:t xml:space="preserve">             .........................  pcs.                  ..............................  €             ..............................  €</w:t>
            </w:r>
          </w:p>
          <w:p w:rsidR="00BB4E92" w:rsidRDefault="00BB4E92" w:rsidP="006A6DA3">
            <w:pPr>
              <w:rPr>
                <w:rFonts w:cs="Arial"/>
              </w:rPr>
            </w:pPr>
          </w:p>
          <w:p w:rsidR="002C6FC7" w:rsidRPr="00B5354F" w:rsidRDefault="002C6FC7" w:rsidP="002C6FC7">
            <w:pPr>
              <w:rPr>
                <w:rFonts w:cs="Arial"/>
                <w:b/>
              </w:rPr>
            </w:pPr>
            <w:r>
              <w:rPr>
                <w:b/>
              </w:rPr>
              <w:t>Service maintenance - compact package</w:t>
            </w:r>
          </w:p>
          <w:p w:rsidR="002C6FC7" w:rsidRPr="00B5354F" w:rsidRDefault="002C6FC7" w:rsidP="002C6FC7">
            <w:pPr>
              <w:rPr>
                <w:rFonts w:cs="Arial"/>
              </w:rPr>
            </w:pPr>
          </w:p>
          <w:p w:rsidR="002C6FC7" w:rsidRPr="00B5354F" w:rsidRDefault="002C6FC7" w:rsidP="002C6FC7">
            <w:pPr>
              <w:rPr>
                <w:rFonts w:cs="Arial"/>
                <w:b/>
              </w:rPr>
            </w:pPr>
            <w:r>
              <w:rPr>
                <w:b/>
              </w:rPr>
              <w:t>Maintenance and testing of hold-open systems</w:t>
            </w:r>
          </w:p>
          <w:p w:rsidR="002C6FC7" w:rsidRPr="00B5354F" w:rsidRDefault="002C6FC7" w:rsidP="002C6FC7">
            <w:pPr>
              <w:rPr>
                <w:rFonts w:cs="Arial"/>
                <w:b/>
              </w:rPr>
            </w:pPr>
            <w:r>
              <w:rPr>
                <w:b/>
              </w:rPr>
              <w:t>(optional position)</w:t>
            </w:r>
          </w:p>
          <w:p w:rsidR="002C6FC7" w:rsidRPr="00B5354F" w:rsidRDefault="002C6FC7" w:rsidP="002C6FC7">
            <w:pPr>
              <w:rPr>
                <w:rFonts w:cs="Arial"/>
              </w:rPr>
            </w:pPr>
          </w:p>
          <w:p w:rsidR="002C6FC7" w:rsidRPr="00B5354F" w:rsidRDefault="002C6FC7" w:rsidP="002C6FC7">
            <w:pPr>
              <w:rPr>
                <w:rFonts w:cs="Arial"/>
              </w:rPr>
            </w:pPr>
            <w:r>
              <w:t>Service package for maintenance and testing according to ASR A1.7 as well as according to manufacturer’s specification with the following performance features:</w:t>
            </w:r>
          </w:p>
          <w:p w:rsidR="002C6FC7" w:rsidRPr="00B5354F" w:rsidRDefault="002C6FC7" w:rsidP="002C6FC7">
            <w:pPr>
              <w:rPr>
                <w:rFonts w:cs="Arial"/>
              </w:rPr>
            </w:pPr>
          </w:p>
          <w:p w:rsidR="002C6FC7" w:rsidRPr="00B5354F" w:rsidRDefault="002C6FC7" w:rsidP="002C6FC7">
            <w:pPr>
              <w:rPr>
                <w:rFonts w:cs="Arial"/>
              </w:rPr>
            </w:pPr>
            <w:r>
              <w:t>- One maintenance per contract year</w:t>
            </w:r>
          </w:p>
          <w:p w:rsidR="002C6FC7" w:rsidRPr="00B5354F" w:rsidRDefault="002C6FC7" w:rsidP="002C6FC7">
            <w:pPr>
              <w:rPr>
                <w:rFonts w:cs="Arial"/>
              </w:rPr>
            </w:pPr>
            <w:r>
              <w:t>- Free provision and updating of the test documents</w:t>
            </w:r>
          </w:p>
          <w:p w:rsidR="002C6FC7" w:rsidRPr="00B5354F" w:rsidRDefault="002C6FC7" w:rsidP="002C6FC7">
            <w:pPr>
              <w:rPr>
                <w:rFonts w:cs="Arial"/>
              </w:rPr>
            </w:pPr>
            <w:r>
              <w:t>- Attachment of the inspection sticker</w:t>
            </w:r>
          </w:p>
          <w:p w:rsidR="002C6FC7" w:rsidRPr="00B5354F" w:rsidRDefault="002C6FC7" w:rsidP="002C6FC7">
            <w:pPr>
              <w:ind w:left="113" w:hanging="113"/>
              <w:rPr>
                <w:rFonts w:cs="Arial"/>
              </w:rPr>
            </w:pPr>
            <w:r>
              <w:t>- Fault diagnosis and repair jobs during the contract period will be carried out at reduced hourly rates</w:t>
            </w:r>
          </w:p>
          <w:p w:rsidR="002C6FC7" w:rsidRPr="00B5354F" w:rsidRDefault="002C6FC7" w:rsidP="002C6FC7">
            <w:pPr>
              <w:ind w:left="113" w:hanging="113"/>
              <w:rPr>
                <w:rFonts w:cs="Arial"/>
              </w:rPr>
            </w:pPr>
            <w:r>
              <w:t>- Service technicians will be deployed within 24 hours of the message being received from Monday – Friday between 7 am and 5 pm without surcharges</w:t>
            </w:r>
          </w:p>
          <w:p w:rsidR="002C6FC7" w:rsidRPr="00B5354F" w:rsidRDefault="002C6FC7" w:rsidP="002C6FC7">
            <w:pPr>
              <w:rPr>
                <w:rFonts w:cs="Arial"/>
              </w:rPr>
            </w:pPr>
            <w:r>
              <w:t>- Personal availability at the help desk 24 hours a day, 365 days a year</w:t>
            </w:r>
          </w:p>
          <w:p w:rsidR="002C6FC7" w:rsidRPr="00B5354F" w:rsidRDefault="002C6FC7" w:rsidP="002C6FC7">
            <w:pPr>
              <w:rPr>
                <w:rFonts w:cs="Arial"/>
              </w:rPr>
            </w:pPr>
            <w:r>
              <w:t>- Contract run time: 2 years</w:t>
            </w:r>
          </w:p>
          <w:p w:rsidR="00BB4E92" w:rsidRDefault="00BB4E92" w:rsidP="006A6DA3">
            <w:pPr>
              <w:rPr>
                <w:rFonts w:cs="Arial"/>
              </w:rPr>
            </w:pPr>
          </w:p>
        </w:tc>
      </w:tr>
      <w:tr w:rsidR="002C6FC7" w:rsidTr="006A6DA3">
        <w:tc>
          <w:tcPr>
            <w:tcW w:w="754" w:type="dxa"/>
          </w:tcPr>
          <w:p w:rsidR="002C6FC7" w:rsidRDefault="002C6FC7" w:rsidP="00D606F1">
            <w:pPr>
              <w:pStyle w:val="Kopfzeile"/>
              <w:numPr>
                <w:ilvl w:val="0"/>
                <w:numId w:val="2"/>
              </w:numPr>
              <w:tabs>
                <w:tab w:val="clear" w:pos="4536"/>
                <w:tab w:val="clear" w:pos="9072"/>
                <w:tab w:val="left" w:pos="425"/>
              </w:tabs>
              <w:rPr>
                <w:rFonts w:cs="Arial"/>
              </w:rPr>
            </w:pPr>
          </w:p>
        </w:tc>
        <w:tc>
          <w:tcPr>
            <w:tcW w:w="8386" w:type="dxa"/>
          </w:tcPr>
          <w:p w:rsidR="002C6FC7" w:rsidRDefault="002C6FC7" w:rsidP="002C6FC7">
            <w:pPr>
              <w:rPr>
                <w:rFonts w:cs="Arial"/>
              </w:rPr>
            </w:pPr>
          </w:p>
          <w:p w:rsidR="002C6FC7" w:rsidRDefault="002C6FC7" w:rsidP="002C6FC7">
            <w:pPr>
              <w:rPr>
                <w:rFonts w:cs="Arial"/>
              </w:rPr>
            </w:pPr>
            <w:r>
              <w:t xml:space="preserve">             .........................  </w:t>
            </w:r>
            <w:proofErr w:type="gramStart"/>
            <w:r>
              <w:t>pcs</w:t>
            </w:r>
            <w:proofErr w:type="gramEnd"/>
            <w:r>
              <w:t>.                  ..............................  €             ..............................  €</w:t>
            </w:r>
          </w:p>
          <w:p w:rsidR="002C6FC7" w:rsidRDefault="002C6FC7" w:rsidP="002C6FC7">
            <w:pPr>
              <w:rPr>
                <w:rFonts w:cs="Arial"/>
              </w:rPr>
            </w:pPr>
          </w:p>
          <w:p w:rsidR="002C6FC7" w:rsidRPr="00B5354F" w:rsidRDefault="002C6FC7" w:rsidP="002C6FC7">
            <w:pPr>
              <w:rPr>
                <w:rFonts w:cs="Arial"/>
                <w:b/>
              </w:rPr>
            </w:pPr>
            <w:r>
              <w:rPr>
                <w:b/>
              </w:rPr>
              <w:t>Service maintenance - comfort package</w:t>
            </w:r>
          </w:p>
          <w:p w:rsidR="002C6FC7" w:rsidRPr="00B5354F" w:rsidRDefault="002C6FC7" w:rsidP="002C6FC7">
            <w:pPr>
              <w:rPr>
                <w:rFonts w:cs="Arial"/>
                <w:b/>
              </w:rPr>
            </w:pPr>
          </w:p>
          <w:p w:rsidR="002C6FC7" w:rsidRPr="00B5354F" w:rsidRDefault="002C6FC7" w:rsidP="002C6FC7">
            <w:pPr>
              <w:rPr>
                <w:rFonts w:cs="Arial"/>
                <w:b/>
              </w:rPr>
            </w:pPr>
            <w:r>
              <w:rPr>
                <w:b/>
              </w:rPr>
              <w:t>Service maintenance (optional position)</w:t>
            </w:r>
          </w:p>
          <w:p w:rsidR="002C6FC7" w:rsidRPr="00B5354F" w:rsidRDefault="002C6FC7" w:rsidP="002C6FC7">
            <w:pPr>
              <w:rPr>
                <w:rFonts w:cs="Arial"/>
              </w:rPr>
            </w:pPr>
          </w:p>
          <w:p w:rsidR="002C6FC7" w:rsidRPr="00B5354F" w:rsidRDefault="002C6FC7" w:rsidP="002C6FC7">
            <w:pPr>
              <w:rPr>
                <w:rFonts w:cs="Arial"/>
              </w:rPr>
            </w:pPr>
            <w:r>
              <w:t>Comfort service package for maintenance and accident prevention inspection in accordance with ASR A1.7 as well as according to manufacturer’s specification with the following performance features:</w:t>
            </w:r>
          </w:p>
          <w:p w:rsidR="002C6FC7" w:rsidRPr="00B5354F" w:rsidRDefault="002C6FC7" w:rsidP="002C6FC7">
            <w:pPr>
              <w:rPr>
                <w:rFonts w:cs="Arial"/>
              </w:rPr>
            </w:pPr>
          </w:p>
          <w:p w:rsidR="002C6FC7" w:rsidRPr="00B5354F" w:rsidRDefault="002C6FC7" w:rsidP="002C6FC7">
            <w:pPr>
              <w:rPr>
                <w:rFonts w:cs="Arial"/>
              </w:rPr>
            </w:pPr>
            <w:r>
              <w:t>- Extension of the warranty to 36 months</w:t>
            </w:r>
          </w:p>
          <w:p w:rsidR="002C6FC7" w:rsidRPr="00B5354F" w:rsidRDefault="002C6FC7" w:rsidP="002C6FC7">
            <w:pPr>
              <w:ind w:left="113"/>
              <w:rPr>
                <w:rFonts w:cs="Arial"/>
              </w:rPr>
            </w:pPr>
            <w:r>
              <w:t>(condition: the maintenance contract is concluded 3 months after the commissioning date at the latest)</w:t>
            </w:r>
          </w:p>
          <w:p w:rsidR="002C6FC7" w:rsidRPr="00B5354F" w:rsidRDefault="002C6FC7" w:rsidP="002C6FC7">
            <w:pPr>
              <w:rPr>
                <w:rFonts w:cs="Arial"/>
              </w:rPr>
            </w:pPr>
            <w:r>
              <w:t>- One maintenance per contract year</w:t>
            </w:r>
          </w:p>
          <w:p w:rsidR="002C6FC7" w:rsidRPr="00B5354F" w:rsidRDefault="002C6FC7" w:rsidP="002C6FC7">
            <w:pPr>
              <w:rPr>
                <w:rFonts w:cs="Arial"/>
              </w:rPr>
            </w:pPr>
            <w:r>
              <w:t>- Free provision and updating of the test documents</w:t>
            </w:r>
          </w:p>
          <w:p w:rsidR="002C6FC7" w:rsidRPr="00B5354F" w:rsidRDefault="002C6FC7" w:rsidP="002C6FC7">
            <w:pPr>
              <w:rPr>
                <w:rFonts w:cs="Arial"/>
              </w:rPr>
            </w:pPr>
            <w:r>
              <w:t>- Attachment of the inspection sticker</w:t>
            </w:r>
          </w:p>
          <w:p w:rsidR="002C6FC7" w:rsidRPr="00B5354F" w:rsidRDefault="002C6FC7" w:rsidP="002C6FC7">
            <w:pPr>
              <w:ind w:left="113" w:hanging="113"/>
              <w:rPr>
                <w:rFonts w:cs="Arial"/>
              </w:rPr>
            </w:pPr>
            <w:r>
              <w:t>- No separate charging for services and travel costs during the warranty period</w:t>
            </w:r>
          </w:p>
          <w:p w:rsidR="002C6FC7" w:rsidRPr="00B5354F" w:rsidRDefault="002C6FC7" w:rsidP="002C6FC7">
            <w:pPr>
              <w:rPr>
                <w:rFonts w:cs="Arial"/>
              </w:rPr>
            </w:pPr>
            <w:r>
              <w:t>- No separate charging for consumables up to € 25 per maintenance</w:t>
            </w:r>
          </w:p>
          <w:p w:rsidR="002C6FC7" w:rsidRPr="00B5354F" w:rsidRDefault="002C6FC7" w:rsidP="002C6FC7">
            <w:pPr>
              <w:ind w:left="113" w:hanging="113"/>
              <w:rPr>
                <w:rFonts w:cs="Arial"/>
              </w:rPr>
            </w:pPr>
            <w:r>
              <w:t>- No separate charging for working hours when spare parts are replaced during the maintenance</w:t>
            </w:r>
          </w:p>
          <w:p w:rsidR="002C6FC7" w:rsidRPr="00B5354F" w:rsidRDefault="002C6FC7" w:rsidP="002C6FC7">
            <w:pPr>
              <w:rPr>
                <w:rFonts w:cs="Arial"/>
              </w:rPr>
            </w:pPr>
            <w:r>
              <w:lastRenderedPageBreak/>
              <w:t>- Personal availability at the help desk 24 hours a day, 365 days a year</w:t>
            </w:r>
          </w:p>
          <w:p w:rsidR="002C6FC7" w:rsidRPr="00B5354F" w:rsidRDefault="002C6FC7" w:rsidP="002C6FC7">
            <w:pPr>
              <w:rPr>
                <w:rFonts w:cs="Arial"/>
              </w:rPr>
            </w:pPr>
            <w:r>
              <w:t>- Contract run time: 3 years</w:t>
            </w:r>
          </w:p>
          <w:p w:rsidR="002C6FC7" w:rsidRDefault="002C6FC7" w:rsidP="00D606F1">
            <w:pPr>
              <w:rPr>
                <w:rFonts w:cs="Arial"/>
              </w:rPr>
            </w:pPr>
          </w:p>
        </w:tc>
      </w:tr>
      <w:tr w:rsidR="002C6FC7" w:rsidTr="006A6DA3">
        <w:tc>
          <w:tcPr>
            <w:tcW w:w="754" w:type="dxa"/>
          </w:tcPr>
          <w:p w:rsidR="002C6FC7" w:rsidRDefault="002C6FC7" w:rsidP="00D606F1">
            <w:pPr>
              <w:pStyle w:val="Kopfzeile"/>
              <w:numPr>
                <w:ilvl w:val="0"/>
                <w:numId w:val="2"/>
              </w:numPr>
              <w:tabs>
                <w:tab w:val="clear" w:pos="4536"/>
                <w:tab w:val="clear" w:pos="9072"/>
                <w:tab w:val="left" w:pos="425"/>
              </w:tabs>
              <w:rPr>
                <w:rFonts w:cs="Arial"/>
              </w:rPr>
            </w:pPr>
          </w:p>
        </w:tc>
        <w:tc>
          <w:tcPr>
            <w:tcW w:w="8386" w:type="dxa"/>
          </w:tcPr>
          <w:p w:rsidR="002C6FC7" w:rsidRDefault="002C6FC7" w:rsidP="002C6FC7">
            <w:pPr>
              <w:rPr>
                <w:rFonts w:cs="Arial"/>
              </w:rPr>
            </w:pPr>
          </w:p>
          <w:p w:rsidR="002C6FC7" w:rsidRDefault="002C6FC7" w:rsidP="002C6FC7">
            <w:pPr>
              <w:rPr>
                <w:rFonts w:cs="Arial"/>
              </w:rPr>
            </w:pPr>
            <w:r>
              <w:t xml:space="preserve">             .........................  </w:t>
            </w:r>
            <w:proofErr w:type="gramStart"/>
            <w:r>
              <w:t>pcs</w:t>
            </w:r>
            <w:proofErr w:type="gramEnd"/>
            <w:r>
              <w:t>.                  ..............................  €             ..............................  €</w:t>
            </w:r>
          </w:p>
          <w:p w:rsidR="002C6FC7" w:rsidRDefault="002C6FC7" w:rsidP="002C6FC7">
            <w:pPr>
              <w:rPr>
                <w:rFonts w:cs="Arial"/>
              </w:rPr>
            </w:pPr>
          </w:p>
          <w:p w:rsidR="002C6FC7" w:rsidRPr="00B5354F" w:rsidRDefault="002C6FC7" w:rsidP="002C6FC7">
            <w:pPr>
              <w:rPr>
                <w:rFonts w:cs="Arial"/>
                <w:b/>
              </w:rPr>
            </w:pPr>
            <w:r>
              <w:rPr>
                <w:b/>
              </w:rPr>
              <w:t>Delivery and installation</w:t>
            </w:r>
          </w:p>
          <w:p w:rsidR="002C6FC7" w:rsidRPr="00B5354F" w:rsidRDefault="002C6FC7" w:rsidP="002C6FC7">
            <w:pPr>
              <w:rPr>
                <w:rFonts w:cs="Arial"/>
              </w:rPr>
            </w:pPr>
          </w:p>
          <w:p w:rsidR="002C6FC7" w:rsidRPr="00B5354F" w:rsidRDefault="002C6FC7" w:rsidP="002C6FC7">
            <w:pPr>
              <w:rPr>
                <w:rFonts w:cs="Arial"/>
              </w:rPr>
            </w:pPr>
            <w:r>
              <w:t>Wiring to be carried out on site by an electrical contractor according to the GEZE cable plan. Delivery, installation and commissioning through plant fitters or service partner. Safety analysis, instruction of the operator as to how the system works and handing over of the documentation.</w:t>
            </w:r>
          </w:p>
          <w:p w:rsidR="002C6FC7" w:rsidRPr="00B5354F" w:rsidRDefault="002C6FC7" w:rsidP="002C6FC7">
            <w:pPr>
              <w:rPr>
                <w:rFonts w:cs="Arial"/>
              </w:rPr>
            </w:pPr>
            <w:r>
              <w:t>Annual maintenance and technical inspection by an expert authorised by the manufacturer incl. documentation of the inspection in an inspection log.</w:t>
            </w:r>
          </w:p>
          <w:p w:rsidR="002C6FC7" w:rsidRDefault="002C6FC7" w:rsidP="00D606F1">
            <w:pPr>
              <w:rPr>
                <w:rFonts w:cs="Arial"/>
              </w:rPr>
            </w:pPr>
            <w:bookmarkStart w:id="1" w:name="_GoBack"/>
            <w:bookmarkEnd w:id="1"/>
          </w:p>
        </w:tc>
      </w:tr>
    </w:tbl>
    <w:p w:rsidR="00EE0E68" w:rsidRPr="003A64E8" w:rsidRDefault="00EE0E68" w:rsidP="006A6DA3">
      <w:pPr>
        <w:pStyle w:val="Blocksatz"/>
        <w:ind w:left="355" w:right="565" w:hanging="355"/>
        <w:rPr>
          <w:rFonts w:ascii="Arial" w:hAnsi="Arial"/>
          <w:i/>
        </w:rPr>
      </w:pPr>
    </w:p>
    <w:sectPr w:rsidR="00EE0E68" w:rsidRPr="003A64E8">
      <w:headerReference w:type="default" r:id="rId8"/>
      <w:footerReference w:type="default" r:id="rId9"/>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8E" w:rsidRDefault="00724E8E">
      <w:r>
        <w:separator/>
      </w:r>
    </w:p>
  </w:endnote>
  <w:endnote w:type="continuationSeparator" w:id="0">
    <w:p w:rsidR="00724E8E" w:rsidRDefault="0072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77" w:rsidRPr="007C1409" w:rsidRDefault="009C0F77" w:rsidP="003A64E8">
    <w:pPr>
      <w:pStyle w:val="HTMLVorformatiert"/>
      <w:rPr>
        <w:rFonts w:ascii="Arial" w:hAnsi="Arial" w:cs="Arial"/>
      </w:rPr>
    </w:pPr>
    <w:r>
      <w:rPr>
        <w:rFonts w:ascii="Arial" w:hAnsi="Arial"/>
      </w:rPr>
      <w:t>Source: GEZE GmbH, Reinhold-Vöster-Str. 21-29, D-71229 Leonberg, Web: www.geze.com</w:t>
    </w:r>
  </w:p>
  <w:p w:rsidR="009C0F77" w:rsidRDefault="009C0F77" w:rsidP="003A64E8">
    <w:pPr>
      <w:pStyle w:val="Fuzeile"/>
    </w:pPr>
    <w:r>
      <w:t xml:space="preserve">Tel.: +49 (0)7152-203-0, Fax: +49 (0)7152-203-310, E-mail: </w:t>
    </w:r>
    <w:r w:rsidR="00A9688C">
      <w:t>info</w:t>
    </w:r>
    <w:r>
      <w:t>.de@geze.com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8E" w:rsidRDefault="00724E8E">
      <w:r>
        <w:separator/>
      </w:r>
    </w:p>
  </w:footnote>
  <w:footnote w:type="continuationSeparator" w:id="0">
    <w:p w:rsidR="00724E8E" w:rsidRDefault="0072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77" w:rsidRPr="00E33143" w:rsidRDefault="00E33143">
    <w:pPr>
      <w:pStyle w:val="Kopfzeile"/>
      <w:tabs>
        <w:tab w:val="left" w:pos="5670"/>
      </w:tabs>
      <w:rPr>
        <w:rFonts w:cs="Arial"/>
        <w:lang w:val="de-DE"/>
      </w:rPr>
    </w:pPr>
    <w:r w:rsidRPr="00E33143">
      <w:rPr>
        <w:lang w:val="de-DE"/>
      </w:rPr>
      <w:t>Tender Text</w:t>
    </w:r>
    <w:r w:rsidR="009C0F77" w:rsidRPr="00E33143">
      <w:rPr>
        <w:lang w:val="de-DE"/>
      </w:rPr>
      <w:t xml:space="preserve"> RWA 100 NT                                                       Version 1.0   Status </w:t>
    </w:r>
    <w:r w:rsidR="009C0F77">
      <w:rPr>
        <w:rFonts w:cs="Arial"/>
      </w:rPr>
      <w:fldChar w:fldCharType="begin"/>
    </w:r>
    <w:r w:rsidR="009C0F77">
      <w:rPr>
        <w:rFonts w:cs="Arial"/>
      </w:rPr>
      <w:instrText xml:space="preserve"> TIME \@ "dd.MM.yy" </w:instrText>
    </w:r>
    <w:r w:rsidR="009C0F77">
      <w:rPr>
        <w:rFonts w:cs="Arial"/>
      </w:rPr>
      <w:fldChar w:fldCharType="separate"/>
    </w:r>
    <w:r w:rsidR="00A9688C">
      <w:rPr>
        <w:rFonts w:cs="Arial"/>
        <w:noProof/>
      </w:rPr>
      <w:t>21.03.16</w:t>
    </w:r>
    <w:r w:rsidR="009C0F77">
      <w:rPr>
        <w:rFonts w:cs="Arial"/>
      </w:rPr>
      <w:fldChar w:fldCharType="end"/>
    </w:r>
  </w:p>
  <w:p w:rsidR="009C0F77" w:rsidRPr="00E33143" w:rsidRDefault="009C0F77">
    <w:pPr>
      <w:pStyle w:val="Kopfzeile"/>
      <w:rPr>
        <w:rFonts w:cs="Arial"/>
        <w:lang w:val="de-DE"/>
      </w:rPr>
    </w:pPr>
  </w:p>
  <w:tbl>
    <w:tblPr>
      <w:tblW w:w="0" w:type="auto"/>
      <w:tblLayout w:type="fixed"/>
      <w:tblLook w:val="04A0" w:firstRow="1" w:lastRow="0" w:firstColumn="1" w:lastColumn="0" w:noHBand="0" w:noVBand="1"/>
    </w:tblPr>
    <w:tblGrid>
      <w:gridCol w:w="1242"/>
      <w:gridCol w:w="3402"/>
      <w:gridCol w:w="709"/>
      <w:gridCol w:w="3827"/>
    </w:tblGrid>
    <w:tr w:rsidR="009C0F77" w:rsidRPr="00090CDB" w:rsidTr="00B85F84">
      <w:trPr>
        <w:cantSplit/>
        <w:trHeight w:hRule="exact" w:val="284"/>
      </w:trPr>
      <w:tc>
        <w:tcPr>
          <w:tcW w:w="1242" w:type="dxa"/>
          <w:vAlign w:val="bottom"/>
        </w:tcPr>
        <w:p w:rsidR="009C0F77" w:rsidRPr="00090CDB" w:rsidRDefault="009C0F77" w:rsidP="00B85F84">
          <w:pPr>
            <w:pStyle w:val="Kopfzeile"/>
            <w:rPr>
              <w:rFonts w:cs="Arial"/>
            </w:rPr>
          </w:pPr>
          <w:r>
            <w:t>Project:</w:t>
          </w:r>
        </w:p>
      </w:tc>
      <w:tc>
        <w:tcPr>
          <w:tcW w:w="7938" w:type="dxa"/>
          <w:gridSpan w:val="3"/>
          <w:tcBorders>
            <w:bottom w:val="single" w:sz="4" w:space="0" w:color="000000"/>
          </w:tcBorders>
          <w:vAlign w:val="bottom"/>
        </w:tcPr>
        <w:p w:rsidR="009C0F77" w:rsidRPr="00090CDB" w:rsidRDefault="009C0F77" w:rsidP="00B85F84">
          <w:pPr>
            <w:pStyle w:val="Kopfzeile"/>
            <w:rPr>
              <w:rFonts w:cs="Arial"/>
            </w:rPr>
          </w:pPr>
        </w:p>
      </w:tc>
    </w:tr>
    <w:tr w:rsidR="009C0F77" w:rsidRPr="00090CDB" w:rsidTr="00B85F84">
      <w:trPr>
        <w:cantSplit/>
        <w:trHeight w:hRule="exact" w:val="284"/>
      </w:trPr>
      <w:tc>
        <w:tcPr>
          <w:tcW w:w="1242" w:type="dxa"/>
          <w:vAlign w:val="bottom"/>
        </w:tcPr>
        <w:p w:rsidR="009C0F77" w:rsidRPr="00090CDB" w:rsidRDefault="009C0F77" w:rsidP="00B85F84">
          <w:pPr>
            <w:pStyle w:val="Kopfzeile"/>
            <w:rPr>
              <w:rFonts w:cs="Arial"/>
            </w:rPr>
          </w:pPr>
          <w:r>
            <w:t>Support:</w:t>
          </w:r>
        </w:p>
      </w:tc>
      <w:tc>
        <w:tcPr>
          <w:tcW w:w="7938" w:type="dxa"/>
          <w:gridSpan w:val="3"/>
          <w:tcBorders>
            <w:top w:val="single" w:sz="4" w:space="0" w:color="000000"/>
            <w:bottom w:val="single" w:sz="4" w:space="0" w:color="000000"/>
          </w:tcBorders>
          <w:vAlign w:val="bottom"/>
        </w:tcPr>
        <w:p w:rsidR="009C0F77" w:rsidRPr="00090CDB" w:rsidRDefault="009C0F77" w:rsidP="00B85F84">
          <w:pPr>
            <w:pStyle w:val="Kopfzeile"/>
            <w:rPr>
              <w:rFonts w:cs="Arial"/>
            </w:rPr>
          </w:pPr>
        </w:p>
      </w:tc>
    </w:tr>
    <w:tr w:rsidR="009C0F77" w:rsidRPr="00090CDB" w:rsidTr="00B85F84">
      <w:trPr>
        <w:cantSplit/>
        <w:trHeight w:hRule="exact" w:val="284"/>
      </w:trPr>
      <w:tc>
        <w:tcPr>
          <w:tcW w:w="1242" w:type="dxa"/>
          <w:vAlign w:val="bottom"/>
        </w:tcPr>
        <w:p w:rsidR="009C0F77" w:rsidRPr="00090CDB" w:rsidRDefault="009C0F77" w:rsidP="00B85F84">
          <w:pPr>
            <w:pStyle w:val="Kopfzeile"/>
            <w:rPr>
              <w:rFonts w:cs="Arial"/>
            </w:rPr>
          </w:pPr>
          <w:r>
            <w:t>Spec. no.:</w:t>
          </w:r>
        </w:p>
      </w:tc>
      <w:tc>
        <w:tcPr>
          <w:tcW w:w="3402" w:type="dxa"/>
          <w:tcBorders>
            <w:top w:val="single" w:sz="4" w:space="0" w:color="000000"/>
            <w:bottom w:val="single" w:sz="4" w:space="0" w:color="000000"/>
          </w:tcBorders>
          <w:vAlign w:val="bottom"/>
        </w:tcPr>
        <w:p w:rsidR="009C0F77" w:rsidRPr="00090CDB" w:rsidRDefault="009C0F77" w:rsidP="00B85F84">
          <w:pPr>
            <w:pStyle w:val="Kopfzeile"/>
            <w:rPr>
              <w:rFonts w:cs="Arial"/>
            </w:rPr>
          </w:pPr>
        </w:p>
      </w:tc>
      <w:tc>
        <w:tcPr>
          <w:tcW w:w="709" w:type="dxa"/>
          <w:tcBorders>
            <w:top w:val="single" w:sz="4" w:space="0" w:color="000000"/>
          </w:tcBorders>
          <w:vAlign w:val="bottom"/>
        </w:tcPr>
        <w:p w:rsidR="009C0F77" w:rsidRPr="00090CDB" w:rsidRDefault="009C0F77" w:rsidP="00B85F84">
          <w:pPr>
            <w:pStyle w:val="Kopfzeile"/>
            <w:rPr>
              <w:rFonts w:cs="Arial"/>
            </w:rPr>
          </w:pPr>
          <w:r>
            <w:t>Site:</w:t>
          </w:r>
        </w:p>
      </w:tc>
      <w:tc>
        <w:tcPr>
          <w:tcW w:w="3827" w:type="dxa"/>
          <w:tcBorders>
            <w:top w:val="single" w:sz="4" w:space="0" w:color="000000"/>
            <w:bottom w:val="single" w:sz="4" w:space="0" w:color="000000"/>
          </w:tcBorders>
          <w:vAlign w:val="bottom"/>
        </w:tcPr>
        <w:p w:rsidR="009C0F77" w:rsidRPr="00090CDB" w:rsidRDefault="009C0F77" w:rsidP="00B85F84">
          <w:pPr>
            <w:pStyle w:val="Kopfzeile"/>
            <w:rPr>
              <w:rFonts w:cs="Arial"/>
            </w:rPr>
          </w:pPr>
        </w:p>
      </w:tc>
    </w:tr>
  </w:tbl>
  <w:p w:rsidR="009C0F77" w:rsidRDefault="009C0F77">
    <w:pPr>
      <w:pStyle w:val="Kopfzeile"/>
      <w:rPr>
        <w:rFonts w:cs="Arial"/>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51"/>
      <w:gridCol w:w="1984"/>
      <w:gridCol w:w="851"/>
      <w:gridCol w:w="2410"/>
      <w:gridCol w:w="283"/>
      <w:gridCol w:w="2410"/>
      <w:gridCol w:w="283"/>
    </w:tblGrid>
    <w:tr w:rsidR="009C0F77">
      <w:trPr>
        <w:cantSplit/>
      </w:trPr>
      <w:tc>
        <w:tcPr>
          <w:tcW w:w="851" w:type="dxa"/>
        </w:tcPr>
        <w:p w:rsidR="009C0F77" w:rsidRDefault="009C0F77">
          <w:pPr>
            <w:pStyle w:val="Kopfzeile"/>
            <w:tabs>
              <w:tab w:val="clear" w:pos="4536"/>
              <w:tab w:val="clear" w:pos="9072"/>
              <w:tab w:val="left" w:pos="425"/>
            </w:tabs>
            <w:spacing w:before="240" w:after="240"/>
            <w:jc w:val="center"/>
            <w:rPr>
              <w:rFonts w:cs="Arial"/>
            </w:rPr>
          </w:pPr>
          <w:r>
            <w:t>Pos. no.</w:t>
          </w:r>
        </w:p>
      </w:tc>
      <w:tc>
        <w:tcPr>
          <w:tcW w:w="1984" w:type="dxa"/>
        </w:tcPr>
        <w:p w:rsidR="009C0F77" w:rsidRDefault="009C0F77">
          <w:pPr>
            <w:spacing w:before="240" w:after="240"/>
            <w:jc w:val="center"/>
            <w:rPr>
              <w:rFonts w:cs="Arial"/>
            </w:rPr>
          </w:pPr>
          <w:r>
            <w:t>Quantity</w:t>
          </w:r>
        </w:p>
      </w:tc>
      <w:tc>
        <w:tcPr>
          <w:tcW w:w="851" w:type="dxa"/>
        </w:tcPr>
        <w:p w:rsidR="009C0F77" w:rsidRDefault="009C0F77">
          <w:pPr>
            <w:spacing w:before="240" w:after="240"/>
            <w:jc w:val="center"/>
            <w:rPr>
              <w:rFonts w:cs="Arial"/>
            </w:rPr>
          </w:pPr>
          <w:r>
            <w:t>Unit</w:t>
          </w:r>
        </w:p>
      </w:tc>
      <w:tc>
        <w:tcPr>
          <w:tcW w:w="2410" w:type="dxa"/>
        </w:tcPr>
        <w:p w:rsidR="009C0F77" w:rsidRDefault="009C0F77">
          <w:pPr>
            <w:spacing w:before="240" w:after="240"/>
            <w:jc w:val="center"/>
            <w:rPr>
              <w:rFonts w:cs="Arial"/>
            </w:rPr>
          </w:pPr>
          <w:r>
            <w:t>Unit price</w:t>
          </w:r>
        </w:p>
      </w:tc>
      <w:tc>
        <w:tcPr>
          <w:tcW w:w="283" w:type="dxa"/>
        </w:tcPr>
        <w:p w:rsidR="009C0F77" w:rsidRDefault="009C0F77">
          <w:pPr>
            <w:spacing w:before="240" w:after="240"/>
            <w:jc w:val="center"/>
            <w:rPr>
              <w:rFonts w:cs="Arial"/>
            </w:rPr>
          </w:pPr>
        </w:p>
      </w:tc>
      <w:tc>
        <w:tcPr>
          <w:tcW w:w="2410" w:type="dxa"/>
        </w:tcPr>
        <w:p w:rsidR="009C0F77" w:rsidRDefault="009C0F77">
          <w:pPr>
            <w:spacing w:before="240" w:after="240"/>
            <w:jc w:val="center"/>
            <w:rPr>
              <w:rFonts w:cs="Arial"/>
            </w:rPr>
          </w:pPr>
          <w:r>
            <w:t>Total amount</w:t>
          </w:r>
        </w:p>
      </w:tc>
      <w:tc>
        <w:tcPr>
          <w:tcW w:w="283" w:type="dxa"/>
        </w:tcPr>
        <w:p w:rsidR="009C0F77" w:rsidRDefault="009C0F77">
          <w:pPr>
            <w:spacing w:before="240" w:after="240"/>
            <w:jc w:val="center"/>
            <w:rPr>
              <w:rFonts w:cs="Arial"/>
            </w:rPr>
          </w:pPr>
        </w:p>
      </w:tc>
    </w:tr>
  </w:tbl>
  <w:p w:rsidR="009C0F77" w:rsidRDefault="009C0F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F9B"/>
    <w:multiLevelType w:val="singleLevel"/>
    <w:tmpl w:val="54E6638A"/>
    <w:lvl w:ilvl="0">
      <w:numFmt w:val="decimal"/>
      <w:lvlText w:val="1.%1"/>
      <w:legacy w:legacy="1" w:legacySpace="120" w:legacyIndent="425"/>
      <w:lvlJc w:val="left"/>
      <w:pPr>
        <w:ind w:left="425" w:hanging="425"/>
      </w:pPr>
    </w:lvl>
  </w:abstractNum>
  <w:abstractNum w:abstractNumId="1">
    <w:nsid w:val="593E5851"/>
    <w:multiLevelType w:val="hybridMultilevel"/>
    <w:tmpl w:val="C36A67A0"/>
    <w:lvl w:ilvl="0" w:tplc="A3C8D046">
      <w:start w:val="1"/>
      <w:numFmt w:val="bullet"/>
      <w:lvlText w:val=""/>
      <w:lvlJc w:val="left"/>
      <w:pPr>
        <w:tabs>
          <w:tab w:val="num" w:pos="644"/>
        </w:tabs>
        <w:ind w:left="284"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81125A7"/>
    <w:multiLevelType w:val="singleLevel"/>
    <w:tmpl w:val="5BD21186"/>
    <w:lvl w:ilvl="0">
      <w:numFmt w:val="decimal"/>
      <w:lvlText w:val="1.%1"/>
      <w:legacy w:legacy="1" w:legacySpace="120" w:legacyIndent="425"/>
      <w:lvlJc w:val="left"/>
      <w:pPr>
        <w:ind w:left="425" w:hanging="425"/>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8F"/>
    <w:rsid w:val="00042DDB"/>
    <w:rsid w:val="000B7119"/>
    <w:rsid w:val="000D4F72"/>
    <w:rsid w:val="001D025F"/>
    <w:rsid w:val="001F6244"/>
    <w:rsid w:val="0026511F"/>
    <w:rsid w:val="002C6FC7"/>
    <w:rsid w:val="003322B9"/>
    <w:rsid w:val="003A64E8"/>
    <w:rsid w:val="003A6863"/>
    <w:rsid w:val="003B091C"/>
    <w:rsid w:val="004C010B"/>
    <w:rsid w:val="004F24CB"/>
    <w:rsid w:val="00544AFE"/>
    <w:rsid w:val="005970DE"/>
    <w:rsid w:val="005F2CBA"/>
    <w:rsid w:val="0064754E"/>
    <w:rsid w:val="006773A9"/>
    <w:rsid w:val="006A6DA3"/>
    <w:rsid w:val="006D7CE7"/>
    <w:rsid w:val="0071112C"/>
    <w:rsid w:val="0072136B"/>
    <w:rsid w:val="00724E8E"/>
    <w:rsid w:val="007324CD"/>
    <w:rsid w:val="00801DF9"/>
    <w:rsid w:val="008237B6"/>
    <w:rsid w:val="008336DF"/>
    <w:rsid w:val="0089202E"/>
    <w:rsid w:val="00894D00"/>
    <w:rsid w:val="008A26BD"/>
    <w:rsid w:val="008F0506"/>
    <w:rsid w:val="00912472"/>
    <w:rsid w:val="009537B9"/>
    <w:rsid w:val="009C0F77"/>
    <w:rsid w:val="009F385D"/>
    <w:rsid w:val="00A9688C"/>
    <w:rsid w:val="00AA6C42"/>
    <w:rsid w:val="00B04FE7"/>
    <w:rsid w:val="00B704F1"/>
    <w:rsid w:val="00B85F84"/>
    <w:rsid w:val="00BB4E92"/>
    <w:rsid w:val="00C94FFA"/>
    <w:rsid w:val="00CD426D"/>
    <w:rsid w:val="00D34B8F"/>
    <w:rsid w:val="00D606F1"/>
    <w:rsid w:val="00DF1F8D"/>
    <w:rsid w:val="00DF2B1B"/>
    <w:rsid w:val="00E33143"/>
    <w:rsid w:val="00E34C52"/>
    <w:rsid w:val="00EE0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style>
  <w:style w:type="character" w:customStyle="1" w:styleId="KopfzeileZchn">
    <w:name w:val="Kopfzeile Zchn"/>
    <w:basedOn w:val="Absatz-Standardschriftart"/>
    <w:rPr>
      <w:sz w:val="24"/>
      <w:szCs w:val="24"/>
      <w:lang w:eastAsia="en-GB"/>
    </w:rPr>
  </w:style>
  <w:style w:type="paragraph" w:styleId="Fuzeile">
    <w:name w:val="footer"/>
    <w:basedOn w:val="Standard"/>
    <w:unhideWhenUsed/>
    <w:pPr>
      <w:tabs>
        <w:tab w:val="center" w:pos="4536"/>
        <w:tab w:val="right" w:pos="9072"/>
      </w:tabs>
    </w:pPr>
  </w:style>
  <w:style w:type="character" w:customStyle="1" w:styleId="FuzeileZchn">
    <w:name w:val="Fußzeile Zchn"/>
    <w:basedOn w:val="Absatz-Standardschriftart"/>
    <w:semiHidden/>
    <w:rPr>
      <w:sz w:val="24"/>
      <w:szCs w:val="24"/>
      <w:lang w:eastAsia="en-GB"/>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z w:val="16"/>
      <w:szCs w:val="16"/>
      <w:lang w:eastAsia="en-GB"/>
    </w:rPr>
  </w:style>
  <w:style w:type="paragraph" w:styleId="Blocktext">
    <w:name w:val="Block Text"/>
    <w:basedOn w:val="Standard"/>
    <w:semiHidden/>
    <w:pPr>
      <w:ind w:left="425" w:right="2268"/>
    </w:pPr>
    <w:rPr>
      <w:rFonts w:ascii="Univers" w:hAnsi="Univers" w:cs="Univers"/>
      <w:sz w:val="24"/>
      <w:szCs w:val="24"/>
    </w:rPr>
  </w:style>
  <w:style w:type="paragraph" w:customStyle="1" w:styleId="Blocksatz">
    <w:name w:val="Blocksatz"/>
    <w:basedOn w:val="Standard"/>
    <w:pPr>
      <w:overflowPunct w:val="0"/>
      <w:autoSpaceDE w:val="0"/>
      <w:autoSpaceDN w:val="0"/>
      <w:adjustRightInd w:val="0"/>
      <w:ind w:left="425" w:right="2268"/>
      <w:textAlignment w:val="baseline"/>
    </w:pPr>
    <w:rPr>
      <w:rFonts w:ascii="Univers" w:hAnsi="Univers"/>
    </w:rPr>
  </w:style>
  <w:style w:type="paragraph" w:customStyle="1" w:styleId="Blocktext1">
    <w:name w:val="Blocktext1"/>
    <w:basedOn w:val="Standard"/>
    <w:pPr>
      <w:overflowPunct w:val="0"/>
      <w:autoSpaceDE w:val="0"/>
      <w:autoSpaceDN w:val="0"/>
      <w:adjustRightInd w:val="0"/>
      <w:ind w:left="425" w:right="2268"/>
      <w:textAlignment w:val="baseline"/>
    </w:pPr>
    <w:rPr>
      <w:rFonts w:ascii="Univers" w:hAnsi="Univers"/>
    </w:rPr>
  </w:style>
  <w:style w:type="paragraph" w:customStyle="1" w:styleId="Textkrper21">
    <w:name w:val="Textkörper 21"/>
    <w:basedOn w:val="Standard"/>
    <w:pPr>
      <w:overflowPunct w:val="0"/>
      <w:autoSpaceDE w:val="0"/>
      <w:autoSpaceDN w:val="0"/>
      <w:adjustRightInd w:val="0"/>
      <w:ind w:left="567" w:hanging="567"/>
      <w:textAlignment w:val="baseline"/>
    </w:pPr>
    <w:rPr>
      <w:rFonts w:ascii="Univers" w:hAnsi="Univers"/>
    </w:rPr>
  </w:style>
  <w:style w:type="paragraph" w:styleId="HTMLVorformatiert">
    <w:name w:val="HTML Preformatted"/>
    <w:basedOn w:val="Standard"/>
    <w:link w:val="HTMLVorformatiertZchn"/>
    <w:uiPriority w:val="99"/>
    <w:semiHidden/>
    <w:unhideWhenUsed/>
    <w:rsid w:val="003A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3A64E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style>
  <w:style w:type="character" w:customStyle="1" w:styleId="KopfzeileZchn">
    <w:name w:val="Kopfzeile Zchn"/>
    <w:basedOn w:val="Absatz-Standardschriftart"/>
    <w:rPr>
      <w:sz w:val="24"/>
      <w:szCs w:val="24"/>
      <w:lang w:eastAsia="en-GB"/>
    </w:rPr>
  </w:style>
  <w:style w:type="paragraph" w:styleId="Fuzeile">
    <w:name w:val="footer"/>
    <w:basedOn w:val="Standard"/>
    <w:unhideWhenUsed/>
    <w:pPr>
      <w:tabs>
        <w:tab w:val="center" w:pos="4536"/>
        <w:tab w:val="right" w:pos="9072"/>
      </w:tabs>
    </w:pPr>
  </w:style>
  <w:style w:type="character" w:customStyle="1" w:styleId="FuzeileZchn">
    <w:name w:val="Fußzeile Zchn"/>
    <w:basedOn w:val="Absatz-Standardschriftart"/>
    <w:semiHidden/>
    <w:rPr>
      <w:sz w:val="24"/>
      <w:szCs w:val="24"/>
      <w:lang w:eastAsia="en-GB"/>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z w:val="16"/>
      <w:szCs w:val="16"/>
      <w:lang w:eastAsia="en-GB"/>
    </w:rPr>
  </w:style>
  <w:style w:type="paragraph" w:styleId="Blocktext">
    <w:name w:val="Block Text"/>
    <w:basedOn w:val="Standard"/>
    <w:semiHidden/>
    <w:pPr>
      <w:ind w:left="425" w:right="2268"/>
    </w:pPr>
    <w:rPr>
      <w:rFonts w:ascii="Univers" w:hAnsi="Univers" w:cs="Univers"/>
      <w:sz w:val="24"/>
      <w:szCs w:val="24"/>
    </w:rPr>
  </w:style>
  <w:style w:type="paragraph" w:customStyle="1" w:styleId="Blocksatz">
    <w:name w:val="Blocksatz"/>
    <w:basedOn w:val="Standard"/>
    <w:pPr>
      <w:overflowPunct w:val="0"/>
      <w:autoSpaceDE w:val="0"/>
      <w:autoSpaceDN w:val="0"/>
      <w:adjustRightInd w:val="0"/>
      <w:ind w:left="425" w:right="2268"/>
      <w:textAlignment w:val="baseline"/>
    </w:pPr>
    <w:rPr>
      <w:rFonts w:ascii="Univers" w:hAnsi="Univers"/>
    </w:rPr>
  </w:style>
  <w:style w:type="paragraph" w:customStyle="1" w:styleId="Blocktext1">
    <w:name w:val="Blocktext1"/>
    <w:basedOn w:val="Standard"/>
    <w:pPr>
      <w:overflowPunct w:val="0"/>
      <w:autoSpaceDE w:val="0"/>
      <w:autoSpaceDN w:val="0"/>
      <w:adjustRightInd w:val="0"/>
      <w:ind w:left="425" w:right="2268"/>
      <w:textAlignment w:val="baseline"/>
    </w:pPr>
    <w:rPr>
      <w:rFonts w:ascii="Univers" w:hAnsi="Univers"/>
    </w:rPr>
  </w:style>
  <w:style w:type="paragraph" w:customStyle="1" w:styleId="Textkrper21">
    <w:name w:val="Textkörper 21"/>
    <w:basedOn w:val="Standard"/>
    <w:pPr>
      <w:overflowPunct w:val="0"/>
      <w:autoSpaceDE w:val="0"/>
      <w:autoSpaceDN w:val="0"/>
      <w:adjustRightInd w:val="0"/>
      <w:ind w:left="567" w:hanging="567"/>
      <w:textAlignment w:val="baseline"/>
    </w:pPr>
    <w:rPr>
      <w:rFonts w:ascii="Univers" w:hAnsi="Univers"/>
    </w:rPr>
  </w:style>
  <w:style w:type="paragraph" w:styleId="HTMLVorformatiert">
    <w:name w:val="HTML Preformatted"/>
    <w:basedOn w:val="Standard"/>
    <w:link w:val="HTMLVorformatiertZchn"/>
    <w:uiPriority w:val="99"/>
    <w:semiHidden/>
    <w:unhideWhenUsed/>
    <w:rsid w:val="003A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3A64E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GEZE Mitarbeiter</dc:creator>
  <cp:lastModifiedBy>Quartz, Nadja</cp:lastModifiedBy>
  <cp:revision>8</cp:revision>
  <cp:lastPrinted>2013-03-27T08:15:00Z</cp:lastPrinted>
  <dcterms:created xsi:type="dcterms:W3CDTF">2014-01-08T08:43:00Z</dcterms:created>
  <dcterms:modified xsi:type="dcterms:W3CDTF">2016-03-21T13:33:00Z</dcterms:modified>
</cp:coreProperties>
</file>